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18" w:type="pct"/>
        <w:tblInd w:w="-34" w:type="dxa"/>
        <w:tblLayout w:type="fixed"/>
        <w:tblLook w:val="0600"/>
      </w:tblPr>
      <w:tblGrid>
        <w:gridCol w:w="10064"/>
      </w:tblGrid>
      <w:tr w:rsidR="00CB06A9" w:rsidRPr="00003D4B" w:rsidTr="00003D4B">
        <w:trPr>
          <w:trHeight w:val="662"/>
        </w:trPr>
        <w:tc>
          <w:tcPr>
            <w:tcW w:w="5000" w:type="pct"/>
            <w:shd w:val="clear" w:color="auto" w:fill="8DB3E2" w:themeFill="text2" w:themeFillTint="66"/>
            <w:vAlign w:val="center"/>
          </w:tcPr>
          <w:p w:rsidR="00CB06A9" w:rsidRPr="00E92B81" w:rsidRDefault="00E92B81" w:rsidP="00003D4B">
            <w:pPr>
              <w:shd w:val="clear" w:color="auto" w:fill="8DB3E2" w:themeFill="text2" w:themeFillTint="66"/>
              <w:autoSpaceDE w:val="0"/>
              <w:autoSpaceDN w:val="0"/>
              <w:adjustRightInd w:val="0"/>
              <w:rPr>
                <w:rFonts w:ascii="Arial Narrow" w:hAnsi="Arial Narrow" w:cs="TTE1F67328t00"/>
                <w:smallCaps/>
                <w:color w:val="FFFFFF" w:themeColor="background1"/>
                <w:sz w:val="30"/>
                <w:szCs w:val="30"/>
              </w:rPr>
            </w:pPr>
            <w:r w:rsidRPr="00E92B81">
              <w:rPr>
                <w:rFonts w:ascii="Arial Narrow" w:hAnsi="Arial Narrow"/>
                <w:smallCaps/>
                <w:color w:val="FFFFFF" w:themeColor="background1"/>
                <w:sz w:val="30"/>
                <w:szCs w:val="30"/>
              </w:rPr>
              <w:t>Pflichtversicherungssumme für kleine Fonds bei alternativen Verwahrstellen</w:t>
            </w:r>
          </w:p>
        </w:tc>
      </w:tr>
      <w:tr w:rsidR="0054442E" w:rsidRPr="00C62734" w:rsidTr="00003D4B">
        <w:trPr>
          <w:trHeight w:val="195"/>
        </w:trPr>
        <w:tc>
          <w:tcPr>
            <w:tcW w:w="5000" w:type="pct"/>
            <w:shd w:val="clear" w:color="auto" w:fill="C6D9F1" w:themeFill="text2" w:themeFillTint="33"/>
            <w:vAlign w:val="center"/>
          </w:tcPr>
          <w:p w:rsidR="0054442E" w:rsidRPr="002C35C9" w:rsidRDefault="0054442E" w:rsidP="002911FA">
            <w:pPr>
              <w:ind w:right="-37"/>
              <w:rPr>
                <w:rFonts w:ascii="Arial Narrow" w:hAnsi="Arial Narrow"/>
                <w:bCs/>
              </w:rPr>
            </w:pPr>
          </w:p>
        </w:tc>
      </w:tr>
      <w:tr w:rsidR="00003D4B" w:rsidRPr="004A4963" w:rsidTr="00003D4B">
        <w:trPr>
          <w:trHeight w:val="195"/>
        </w:trPr>
        <w:tc>
          <w:tcPr>
            <w:tcW w:w="5000" w:type="pct"/>
            <w:shd w:val="clear" w:color="auto" w:fill="DBE5F1" w:themeFill="accent1" w:themeFillTint="33"/>
            <w:vAlign w:val="center"/>
          </w:tcPr>
          <w:p w:rsidR="00003D4B" w:rsidRPr="004A4963" w:rsidRDefault="00E92B81" w:rsidP="00003D4B">
            <w:pPr>
              <w:tabs>
                <w:tab w:val="right" w:pos="9072"/>
              </w:tabs>
              <w:rPr>
                <w:rFonts w:ascii="Arial Narrow" w:hAnsi="Arial Narrow"/>
                <w:smallCaps/>
                <w:color w:val="000000" w:themeColor="text1"/>
                <w:lang w:val="en-US"/>
              </w:rPr>
            </w:pPr>
            <w:r w:rsidRPr="004A4963">
              <w:rPr>
                <w:rFonts w:ascii="Arial Narrow" w:hAnsi="Arial Narrow" w:cs="TTE1F54F90t00"/>
                <w:smallCaps/>
                <w:color w:val="000000" w:themeColor="text1"/>
              </w:rPr>
              <w:t>Fragestellung</w:t>
            </w:r>
          </w:p>
        </w:tc>
      </w:tr>
      <w:tr w:rsidR="00003D4B" w:rsidRPr="004A4963" w:rsidTr="00003D4B">
        <w:trPr>
          <w:trHeight w:val="195"/>
        </w:trPr>
        <w:tc>
          <w:tcPr>
            <w:tcW w:w="5000" w:type="pct"/>
            <w:shd w:val="clear" w:color="auto" w:fill="FFFFFF" w:themeFill="background1"/>
            <w:vAlign w:val="center"/>
          </w:tcPr>
          <w:p w:rsidR="00E92B81" w:rsidRPr="004A4963" w:rsidRDefault="00E92B81" w:rsidP="00E92B81">
            <w:pPr>
              <w:rPr>
                <w:rFonts w:ascii="Arial Narrow" w:hAnsi="Arial Narrow"/>
                <w:color w:val="000000" w:themeColor="text1"/>
              </w:rPr>
            </w:pPr>
            <w:r w:rsidRPr="004A4963">
              <w:rPr>
                <w:rFonts w:ascii="Arial Narrow" w:hAnsi="Arial Narrow"/>
                <w:color w:val="000000" w:themeColor="text1"/>
              </w:rPr>
              <w:t xml:space="preserve">Wir fragten die Grundsatzabteilung der </w:t>
            </w:r>
            <w:proofErr w:type="spellStart"/>
            <w:r w:rsidRPr="004A4963">
              <w:rPr>
                <w:rFonts w:ascii="Arial Narrow" w:hAnsi="Arial Narrow"/>
                <w:color w:val="000000" w:themeColor="text1"/>
              </w:rPr>
              <w:t>BAFin</w:t>
            </w:r>
            <w:proofErr w:type="spellEnd"/>
            <w:r w:rsidRPr="004A4963">
              <w:rPr>
                <w:rFonts w:ascii="Arial Narrow" w:hAnsi="Arial Narrow"/>
                <w:color w:val="000000" w:themeColor="text1"/>
              </w:rPr>
              <w:t xml:space="preserve"> Herr </w:t>
            </w:r>
            <w:proofErr w:type="spellStart"/>
            <w:r w:rsidRPr="004A4963">
              <w:rPr>
                <w:rFonts w:ascii="Arial Narrow" w:hAnsi="Arial Narrow"/>
                <w:color w:val="000000" w:themeColor="text1"/>
              </w:rPr>
              <w:t>Carny</w:t>
            </w:r>
            <w:proofErr w:type="spellEnd"/>
            <w:r w:rsidRPr="004A4963">
              <w:rPr>
                <w:rFonts w:ascii="Arial Narrow" w:hAnsi="Arial Narrow"/>
                <w:color w:val="000000" w:themeColor="text1"/>
              </w:rPr>
              <w:t>, ob bei einer Sammel-Police für mehrere Fonds</w:t>
            </w:r>
          </w:p>
          <w:p w:rsidR="00E92B81" w:rsidRPr="004A4963" w:rsidRDefault="00E92B81" w:rsidP="00E92B81">
            <w:pPr>
              <w:rPr>
                <w:rFonts w:ascii="Arial Narrow" w:hAnsi="Arial Narrow"/>
                <w:color w:val="000000" w:themeColor="text1"/>
              </w:rPr>
            </w:pPr>
          </w:p>
          <w:p w:rsidR="00E92B81" w:rsidRPr="004A4963" w:rsidRDefault="00E92B81" w:rsidP="00E92B81">
            <w:pPr>
              <w:pStyle w:val="Listenabsatz"/>
              <w:numPr>
                <w:ilvl w:val="0"/>
                <w:numId w:val="4"/>
              </w:numPr>
              <w:rPr>
                <w:rFonts w:ascii="Arial Narrow" w:hAnsi="Arial Narrow"/>
                <w:color w:val="000000" w:themeColor="text1"/>
              </w:rPr>
            </w:pPr>
            <w:r w:rsidRPr="004A4963">
              <w:rPr>
                <w:rFonts w:ascii="Arial Narrow" w:hAnsi="Arial Narrow"/>
                <w:color w:val="000000" w:themeColor="text1"/>
              </w:rPr>
              <w:t>Sublimits je Fonds auszuweisen sind</w:t>
            </w:r>
          </w:p>
          <w:p w:rsidR="00003D4B" w:rsidRPr="004A4963" w:rsidRDefault="00E92B81" w:rsidP="00E92B81">
            <w:pPr>
              <w:pStyle w:val="Listenabsatz"/>
              <w:numPr>
                <w:ilvl w:val="0"/>
                <w:numId w:val="4"/>
              </w:numPr>
              <w:rPr>
                <w:rFonts w:ascii="Arial Narrow" w:hAnsi="Arial Narrow"/>
                <w:color w:val="000000" w:themeColor="text1"/>
              </w:rPr>
            </w:pPr>
            <w:r w:rsidRPr="004A4963">
              <w:rPr>
                <w:rFonts w:ascii="Arial Narrow" w:hAnsi="Arial Narrow"/>
                <w:color w:val="000000" w:themeColor="text1"/>
              </w:rPr>
              <w:t xml:space="preserve">Je Fonds mindestens 1 Mio. Deckungssumme vorzusehen ist zusätzlich zu größeren Summen bei Fonds &gt; 10 Mio. </w:t>
            </w:r>
          </w:p>
          <w:p w:rsidR="00E92B81" w:rsidRPr="004A4963" w:rsidRDefault="00E92B81" w:rsidP="00E92B81">
            <w:pPr>
              <w:pStyle w:val="Listenabsatz"/>
              <w:numPr>
                <w:ilvl w:val="0"/>
                <w:numId w:val="4"/>
              </w:numPr>
              <w:rPr>
                <w:rFonts w:ascii="Arial Narrow" w:hAnsi="Arial Narrow"/>
                <w:color w:val="000000" w:themeColor="text1"/>
              </w:rPr>
            </w:pPr>
          </w:p>
        </w:tc>
      </w:tr>
      <w:tr w:rsidR="00003D4B" w:rsidRPr="004A4963" w:rsidTr="00003D4B">
        <w:trPr>
          <w:trHeight w:val="195"/>
        </w:trPr>
        <w:tc>
          <w:tcPr>
            <w:tcW w:w="5000" w:type="pct"/>
            <w:shd w:val="clear" w:color="auto" w:fill="DBE5F1" w:themeFill="accent1" w:themeFillTint="33"/>
            <w:vAlign w:val="center"/>
          </w:tcPr>
          <w:p w:rsidR="00003D4B" w:rsidRPr="004A4963" w:rsidRDefault="00E92B81" w:rsidP="00E92B81">
            <w:pPr>
              <w:rPr>
                <w:rFonts w:ascii="Arial Narrow" w:hAnsi="Arial Narrow"/>
                <w:smallCaps/>
                <w:color w:val="000000" w:themeColor="text1"/>
              </w:rPr>
            </w:pPr>
            <w:r w:rsidRPr="004A4963">
              <w:rPr>
                <w:rFonts w:ascii="Arial Narrow" w:hAnsi="Arial Narrow"/>
                <w:smallCaps/>
                <w:color w:val="000000" w:themeColor="text1"/>
              </w:rPr>
              <w:t xml:space="preserve">Antwort des Herrn </w:t>
            </w:r>
            <w:proofErr w:type="spellStart"/>
            <w:r w:rsidRPr="004A4963">
              <w:rPr>
                <w:rFonts w:ascii="Arial Narrow" w:hAnsi="Arial Narrow"/>
                <w:smallCaps/>
                <w:color w:val="000000" w:themeColor="text1"/>
              </w:rPr>
              <w:t>Carny</w:t>
            </w:r>
            <w:proofErr w:type="spellEnd"/>
          </w:p>
        </w:tc>
      </w:tr>
      <w:tr w:rsidR="00003D4B" w:rsidRPr="004A4963" w:rsidTr="00003D4B">
        <w:trPr>
          <w:trHeight w:val="195"/>
        </w:trPr>
        <w:tc>
          <w:tcPr>
            <w:tcW w:w="5000" w:type="pct"/>
            <w:shd w:val="clear" w:color="auto" w:fill="FFFFFF" w:themeFill="background1"/>
            <w:vAlign w:val="center"/>
          </w:tcPr>
          <w:p w:rsidR="00003D4B" w:rsidRPr="004A4963" w:rsidRDefault="005C421A" w:rsidP="00E92B81">
            <w:pPr>
              <w:rPr>
                <w:rFonts w:ascii="Arial Narrow" w:hAnsi="Arial Narrow"/>
                <w:bCs/>
                <w:color w:val="000000" w:themeColor="text1"/>
              </w:rPr>
            </w:pPr>
            <w:r w:rsidRPr="004A4963">
              <w:rPr>
                <w:rFonts w:ascii="Arial Narrow" w:hAnsi="Arial Narrow"/>
                <w:color w:val="000000" w:themeColor="text1"/>
              </w:rPr>
              <w:t xml:space="preserve">Ob ein Treuhänder die Anforderungen als Verwahrstelle erfüllt, kann stets nur im Einzelfall auf Antrag der jeweiligen Kapitalverwaltungsgesellschaft in Bezug auf konkret genannten Investmentvermögen entschieden werden. M.E. ist jedoch das </w:t>
            </w:r>
            <w:hyperlink r:id="rId8" w:anchor="doc4106522bodyText8" w:history="1">
              <w:r w:rsidRPr="004A4963">
                <w:rPr>
                  <w:rStyle w:val="Hyperlink"/>
                  <w:rFonts w:ascii="Arial Narrow" w:hAnsi="Arial Narrow"/>
                  <w:color w:val="000000" w:themeColor="text1"/>
                </w:rPr>
                <w:t>Merkblatt zu den Anforderungen an Treuhänder als Verwahrstelle nach § 80 Absatz 3 KAGB</w:t>
              </w:r>
            </w:hyperlink>
            <w:r w:rsidRPr="004A4963">
              <w:rPr>
                <w:rFonts w:ascii="Arial Narrow" w:hAnsi="Arial Narrow"/>
                <w:color w:val="000000" w:themeColor="text1"/>
              </w:rPr>
              <w:t xml:space="preserve"> insoweit hinreichend klar: „Als Mindestversicherungssumme sind für die Gesamtheit der Ansprüche aller Anleger derjenigen AIF, für die der Treuhänder als Verwahrstelle fungiert, 10 vom Hundert des in die AIF eingezahlten Kapitals, mindestens jedoch eine Million Euro pro Fonds anzusetzen und mit der Versicherungsbestätigung nachzuweisen.“ Wenn also ein Treuhänder fünf AIF verwahrt, muss er eine Mindestversicherungssumme von fünf Millionen Euro nachweisen; beträgt die Summe des auf alle fünf verwahrten AIF eingezahlten Kapitals mehr als 50 Millionen Euro, erhöht sich die notwendige Deckungssumme entsprechend. Wie Ihre Überlegung, </w:t>
            </w:r>
            <w:proofErr w:type="spellStart"/>
            <w:r w:rsidRPr="004A4963">
              <w:rPr>
                <w:rFonts w:ascii="Arial Narrow" w:hAnsi="Arial Narrow"/>
                <w:color w:val="000000" w:themeColor="text1"/>
              </w:rPr>
              <w:t>Sublimite</w:t>
            </w:r>
            <w:proofErr w:type="spellEnd"/>
            <w:r w:rsidRPr="004A4963">
              <w:rPr>
                <w:rFonts w:ascii="Arial Narrow" w:hAnsi="Arial Narrow"/>
                <w:color w:val="000000" w:themeColor="text1"/>
              </w:rPr>
              <w:t xml:space="preserve"> pro Fonds vorzusehen, mit dem Anspruch einer Versicherung des Gesamtvolumens vereinbar sein könnte, erschließt sich mir ebenfalls nicht</w:t>
            </w:r>
            <w:r w:rsidR="00E92B81" w:rsidRPr="004A4963">
              <w:rPr>
                <w:rFonts w:ascii="Arial Narrow" w:hAnsi="Arial Narrow"/>
                <w:color w:val="000000" w:themeColor="text1"/>
              </w:rPr>
              <w:t>.</w:t>
            </w:r>
          </w:p>
        </w:tc>
      </w:tr>
      <w:tr w:rsidR="00E92B81" w:rsidRPr="004A4963" w:rsidTr="00E92B81">
        <w:trPr>
          <w:trHeight w:val="195"/>
        </w:trPr>
        <w:tc>
          <w:tcPr>
            <w:tcW w:w="5000" w:type="pct"/>
            <w:shd w:val="clear" w:color="auto" w:fill="FFFFFF" w:themeFill="background1"/>
            <w:vAlign w:val="center"/>
          </w:tcPr>
          <w:p w:rsidR="00E92B81" w:rsidRPr="004A4963" w:rsidRDefault="00E92B81" w:rsidP="004A4963">
            <w:pPr>
              <w:autoSpaceDE w:val="0"/>
              <w:autoSpaceDN w:val="0"/>
              <w:adjustRightInd w:val="0"/>
              <w:spacing w:before="120" w:after="120"/>
              <w:rPr>
                <w:rFonts w:ascii="Arial Narrow" w:hAnsi="Arial Narrow"/>
                <w:bCs/>
                <w:color w:val="000000" w:themeColor="text1"/>
              </w:rPr>
            </w:pPr>
            <w:r w:rsidRPr="004A4963">
              <w:rPr>
                <w:rFonts w:ascii="Arial Narrow" w:hAnsi="Arial Narrow"/>
                <w:color w:val="000000" w:themeColor="text1"/>
              </w:rPr>
              <w:t xml:space="preserve">Hans-Georg </w:t>
            </w:r>
            <w:proofErr w:type="spellStart"/>
            <w:r w:rsidRPr="004A4963">
              <w:rPr>
                <w:rFonts w:ascii="Arial Narrow" w:hAnsi="Arial Narrow"/>
                <w:color w:val="000000" w:themeColor="text1"/>
              </w:rPr>
              <w:t>Carny</w:t>
            </w:r>
            <w:proofErr w:type="spellEnd"/>
            <w:r w:rsidRPr="004A4963">
              <w:rPr>
                <w:rFonts w:ascii="Arial Narrow" w:hAnsi="Arial Narrow"/>
                <w:color w:val="000000" w:themeColor="text1"/>
              </w:rPr>
              <w:t xml:space="preserve"> </w:t>
            </w:r>
            <w:r w:rsidRPr="004A4963">
              <w:rPr>
                <w:rFonts w:ascii="Arial Narrow" w:hAnsi="Arial Narrow"/>
                <w:color w:val="000000" w:themeColor="text1"/>
              </w:rPr>
              <w:br/>
              <w:t xml:space="preserve">  </w:t>
            </w:r>
            <w:r w:rsidRPr="004A4963">
              <w:rPr>
                <w:rFonts w:ascii="Arial Narrow" w:hAnsi="Arial Narrow"/>
                <w:color w:val="000000" w:themeColor="text1"/>
              </w:rPr>
              <w:br/>
              <w:t xml:space="preserve">Bundesanstalt für Finanzdienstleistungsaufsicht </w:t>
            </w:r>
            <w:r w:rsidR="004A4963">
              <w:rPr>
                <w:rFonts w:ascii="Arial Narrow" w:hAnsi="Arial Narrow"/>
                <w:color w:val="000000" w:themeColor="text1"/>
              </w:rPr>
              <w:t xml:space="preserve"> - </w:t>
            </w:r>
            <w:r w:rsidRPr="004A4963">
              <w:rPr>
                <w:rFonts w:ascii="Arial Narrow" w:hAnsi="Arial Narrow"/>
                <w:color w:val="000000" w:themeColor="text1"/>
              </w:rPr>
              <w:t xml:space="preserve">Referent </w:t>
            </w:r>
            <w:r w:rsidRPr="004A4963">
              <w:rPr>
                <w:rFonts w:ascii="Arial Narrow" w:hAnsi="Arial Narrow"/>
                <w:color w:val="000000" w:themeColor="text1"/>
              </w:rPr>
              <w:br/>
              <w:t xml:space="preserve">Bereich Wertpapieraufsicht </w:t>
            </w:r>
            <w:r w:rsidR="004A4963">
              <w:rPr>
                <w:rFonts w:ascii="Arial Narrow" w:hAnsi="Arial Narrow"/>
                <w:color w:val="000000" w:themeColor="text1"/>
              </w:rPr>
              <w:t xml:space="preserve"> - </w:t>
            </w:r>
            <w:r w:rsidRPr="004A4963">
              <w:rPr>
                <w:rFonts w:ascii="Arial Narrow" w:hAnsi="Arial Narrow"/>
                <w:color w:val="000000" w:themeColor="text1"/>
              </w:rPr>
              <w:t xml:space="preserve">Referat WA 41 </w:t>
            </w:r>
            <w:r w:rsidRPr="004A4963">
              <w:rPr>
                <w:rFonts w:ascii="Arial Narrow" w:hAnsi="Arial Narrow"/>
                <w:color w:val="000000" w:themeColor="text1"/>
              </w:rPr>
              <w:br/>
            </w:r>
            <w:r w:rsidRPr="004A4963">
              <w:rPr>
                <w:rFonts w:ascii="Arial Narrow" w:hAnsi="Arial Narrow"/>
                <w:color w:val="000000" w:themeColor="text1"/>
              </w:rPr>
              <w:br/>
              <w:t xml:space="preserve">Federal Financial </w:t>
            </w:r>
            <w:proofErr w:type="spellStart"/>
            <w:r w:rsidRPr="004A4963">
              <w:rPr>
                <w:rFonts w:ascii="Arial Narrow" w:hAnsi="Arial Narrow"/>
                <w:color w:val="000000" w:themeColor="text1"/>
              </w:rPr>
              <w:t>Supervisory</w:t>
            </w:r>
            <w:proofErr w:type="spellEnd"/>
            <w:r w:rsidRPr="004A4963">
              <w:rPr>
                <w:rFonts w:ascii="Arial Narrow" w:hAnsi="Arial Narrow"/>
                <w:color w:val="000000" w:themeColor="text1"/>
              </w:rPr>
              <w:t xml:space="preserve"> Authority </w:t>
            </w:r>
            <w:r w:rsidR="004A4963">
              <w:rPr>
                <w:rFonts w:ascii="Arial Narrow" w:hAnsi="Arial Narrow"/>
                <w:color w:val="000000" w:themeColor="text1"/>
              </w:rPr>
              <w:t xml:space="preserve"> - </w:t>
            </w:r>
            <w:r w:rsidRPr="004A4963">
              <w:rPr>
                <w:rFonts w:ascii="Arial Narrow" w:hAnsi="Arial Narrow"/>
                <w:color w:val="000000" w:themeColor="text1"/>
              </w:rPr>
              <w:t xml:space="preserve">Securities Supervision </w:t>
            </w:r>
            <w:r w:rsidRPr="004A4963">
              <w:rPr>
                <w:rFonts w:ascii="Arial Narrow" w:hAnsi="Arial Narrow"/>
                <w:color w:val="000000" w:themeColor="text1"/>
              </w:rPr>
              <w:br/>
              <w:t xml:space="preserve">  </w:t>
            </w:r>
            <w:r w:rsidRPr="004A4963">
              <w:rPr>
                <w:rFonts w:ascii="Arial Narrow" w:hAnsi="Arial Narrow"/>
                <w:color w:val="000000" w:themeColor="text1"/>
              </w:rPr>
              <w:br/>
              <w:t xml:space="preserve">Marie-Curie-Straße 24-28 </w:t>
            </w:r>
            <w:r w:rsidR="004A4963">
              <w:rPr>
                <w:rFonts w:ascii="Arial Narrow" w:hAnsi="Arial Narrow"/>
                <w:color w:val="000000" w:themeColor="text1"/>
              </w:rPr>
              <w:t xml:space="preserve"> </w:t>
            </w:r>
            <w:r w:rsidRPr="004A4963">
              <w:rPr>
                <w:rFonts w:ascii="Arial Narrow" w:hAnsi="Arial Narrow"/>
                <w:color w:val="000000" w:themeColor="text1"/>
              </w:rPr>
              <w:t xml:space="preserve">60439 Frankfurt </w:t>
            </w:r>
            <w:r w:rsidRPr="004A4963">
              <w:rPr>
                <w:rFonts w:ascii="Arial Narrow" w:hAnsi="Arial Narrow"/>
                <w:color w:val="000000" w:themeColor="text1"/>
              </w:rPr>
              <w:br/>
              <w:t xml:space="preserve">  </w:t>
            </w:r>
            <w:r w:rsidRPr="004A4963">
              <w:rPr>
                <w:rFonts w:ascii="Arial Narrow" w:hAnsi="Arial Narrow"/>
                <w:color w:val="000000" w:themeColor="text1"/>
              </w:rPr>
              <w:br/>
              <w:t>Tel.: +49 (0)228 4108-3351</w:t>
            </w:r>
            <w:r w:rsidR="004A4963">
              <w:rPr>
                <w:rFonts w:ascii="Arial Narrow" w:hAnsi="Arial Narrow"/>
                <w:color w:val="000000" w:themeColor="text1"/>
              </w:rPr>
              <w:t xml:space="preserve">         Fax</w:t>
            </w:r>
            <w:r w:rsidRPr="004A4963">
              <w:rPr>
                <w:rFonts w:ascii="Arial Narrow" w:hAnsi="Arial Narrow"/>
                <w:color w:val="000000" w:themeColor="text1"/>
              </w:rPr>
              <w:t xml:space="preserve">: +49 (0)228-123 </w:t>
            </w:r>
            <w:r w:rsidR="004A4963">
              <w:rPr>
                <w:rFonts w:ascii="Arial Narrow" w:hAnsi="Arial Narrow"/>
                <w:color w:val="000000" w:themeColor="text1"/>
              </w:rPr>
              <w:t xml:space="preserve">       </w:t>
            </w:r>
            <w:r w:rsidRPr="004A4963">
              <w:rPr>
                <w:rFonts w:ascii="Arial Narrow" w:hAnsi="Arial Narrow"/>
                <w:color w:val="000000" w:themeColor="text1"/>
              </w:rPr>
              <w:t xml:space="preserve">E-Mail: </w:t>
            </w:r>
            <w:hyperlink r:id="rId9" w:history="1">
              <w:r w:rsidRPr="004A4963">
                <w:rPr>
                  <w:rStyle w:val="Hyperlink"/>
                  <w:rFonts w:ascii="Arial Narrow" w:hAnsi="Arial Narrow"/>
                  <w:color w:val="000000" w:themeColor="text1"/>
                </w:rPr>
                <w:t>Hans-Georg.Carny@bafin.de</w:t>
              </w:r>
            </w:hyperlink>
          </w:p>
        </w:tc>
      </w:tr>
      <w:tr w:rsidR="00003D4B" w:rsidRPr="004A4963" w:rsidTr="00003D4B">
        <w:trPr>
          <w:trHeight w:val="195"/>
        </w:trPr>
        <w:tc>
          <w:tcPr>
            <w:tcW w:w="5000" w:type="pct"/>
            <w:shd w:val="clear" w:color="auto" w:fill="DBE5F1" w:themeFill="accent1" w:themeFillTint="33"/>
            <w:vAlign w:val="center"/>
          </w:tcPr>
          <w:p w:rsidR="00003D4B" w:rsidRPr="004A4963" w:rsidRDefault="00E92B81" w:rsidP="00003D4B">
            <w:pPr>
              <w:autoSpaceDE w:val="0"/>
              <w:autoSpaceDN w:val="0"/>
              <w:adjustRightInd w:val="0"/>
              <w:rPr>
                <w:rFonts w:ascii="Arial Narrow" w:hAnsi="Arial Narrow"/>
                <w:smallCaps/>
                <w:color w:val="000000" w:themeColor="text1"/>
              </w:rPr>
            </w:pPr>
            <w:r w:rsidRPr="004A4963">
              <w:rPr>
                <w:rFonts w:ascii="Arial Narrow" w:hAnsi="Arial Narrow" w:cs="TTE1F54F90t00"/>
                <w:smallCaps/>
                <w:color w:val="000000" w:themeColor="text1"/>
              </w:rPr>
              <w:t>Unsere auskunftskonforme Lösung</w:t>
            </w:r>
          </w:p>
        </w:tc>
      </w:tr>
      <w:tr w:rsidR="00003D4B" w:rsidRPr="004A4963" w:rsidTr="00003D4B">
        <w:trPr>
          <w:trHeight w:val="195"/>
        </w:trPr>
        <w:tc>
          <w:tcPr>
            <w:tcW w:w="5000" w:type="pct"/>
            <w:shd w:val="clear" w:color="auto" w:fill="FFFFFF" w:themeFill="background1"/>
            <w:vAlign w:val="center"/>
          </w:tcPr>
          <w:p w:rsidR="00003D4B" w:rsidRPr="004A4963" w:rsidRDefault="00E92B81" w:rsidP="004A4963">
            <w:pPr>
              <w:autoSpaceDE w:val="0"/>
              <w:autoSpaceDN w:val="0"/>
              <w:adjustRightInd w:val="0"/>
              <w:spacing w:before="120" w:after="120"/>
              <w:rPr>
                <w:rFonts w:ascii="Arial Narrow" w:hAnsi="Arial Narrow"/>
                <w:bCs/>
                <w:color w:val="000000" w:themeColor="text1"/>
              </w:rPr>
            </w:pPr>
            <w:r w:rsidRPr="004A4963">
              <w:rPr>
                <w:rFonts w:ascii="Arial Narrow" w:hAnsi="Arial Narrow" w:cs="TTE1EB4B68t00"/>
                <w:color w:val="000000" w:themeColor="text1"/>
              </w:rPr>
              <w:t>Wenn Sie mehrere Fonds verwahren, so beträgt die Mindestversicherungssumme entweder die Anzahl der Fonds x 1 Mio</w:t>
            </w:r>
            <w:r w:rsidR="004A4963">
              <w:rPr>
                <w:rFonts w:ascii="Arial Narrow" w:hAnsi="Arial Narrow" w:cs="TTE1EB4B68t00"/>
                <w:color w:val="000000" w:themeColor="text1"/>
              </w:rPr>
              <w:t>.</w:t>
            </w:r>
            <w:r w:rsidRPr="004A4963">
              <w:rPr>
                <w:rFonts w:ascii="Arial Narrow" w:hAnsi="Arial Narrow" w:cs="TTE1EB4B68t00"/>
                <w:color w:val="000000" w:themeColor="text1"/>
              </w:rPr>
              <w:t xml:space="preserve"> € oder die 10 % der verwalteten Vermögenswerte. Die höhere Summe ist zu wählen.</w:t>
            </w:r>
          </w:p>
        </w:tc>
      </w:tr>
      <w:tr w:rsidR="00003D4B" w:rsidRPr="004A4963" w:rsidTr="00003D4B">
        <w:trPr>
          <w:trHeight w:val="195"/>
        </w:trPr>
        <w:tc>
          <w:tcPr>
            <w:tcW w:w="5000" w:type="pct"/>
            <w:shd w:val="clear" w:color="auto" w:fill="DBE5F1" w:themeFill="accent1" w:themeFillTint="33"/>
            <w:vAlign w:val="center"/>
          </w:tcPr>
          <w:p w:rsidR="00003D4B" w:rsidRPr="004A4963" w:rsidRDefault="004A4963" w:rsidP="00003D4B">
            <w:pPr>
              <w:autoSpaceDE w:val="0"/>
              <w:autoSpaceDN w:val="0"/>
              <w:adjustRightInd w:val="0"/>
              <w:rPr>
                <w:rFonts w:ascii="Arial Narrow" w:hAnsi="Arial Narrow" w:cs="TTE1F54F90t00"/>
                <w:smallCaps/>
                <w:color w:val="000000" w:themeColor="text1"/>
              </w:rPr>
            </w:pPr>
            <w:r w:rsidRPr="004A4963">
              <w:rPr>
                <w:rFonts w:ascii="Arial Narrow" w:hAnsi="Arial Narrow" w:cs="TTE1F54F90t00"/>
                <w:smallCaps/>
                <w:color w:val="000000" w:themeColor="text1"/>
              </w:rPr>
              <w:t>Vorteil</w:t>
            </w:r>
          </w:p>
        </w:tc>
      </w:tr>
      <w:tr w:rsidR="00003D4B" w:rsidRPr="004A4963" w:rsidTr="00003D4B">
        <w:trPr>
          <w:trHeight w:val="195"/>
        </w:trPr>
        <w:tc>
          <w:tcPr>
            <w:tcW w:w="5000" w:type="pct"/>
            <w:shd w:val="clear" w:color="auto" w:fill="FFFFFF" w:themeFill="background1"/>
            <w:vAlign w:val="center"/>
          </w:tcPr>
          <w:p w:rsidR="00003D4B" w:rsidRPr="004A4963" w:rsidRDefault="004A4963" w:rsidP="00003D4B">
            <w:pPr>
              <w:shd w:val="clear" w:color="auto" w:fill="FFFFFF" w:themeFill="background1"/>
              <w:autoSpaceDE w:val="0"/>
              <w:autoSpaceDN w:val="0"/>
              <w:adjustRightInd w:val="0"/>
              <w:spacing w:before="120" w:after="120"/>
              <w:rPr>
                <w:rFonts w:ascii="Arial Narrow" w:hAnsi="Arial Narrow" w:cs="TTE1EB4B68t00"/>
                <w:color w:val="000000" w:themeColor="text1"/>
              </w:rPr>
            </w:pPr>
            <w:r w:rsidRPr="004A4963">
              <w:rPr>
                <w:rFonts w:ascii="Arial Narrow" w:hAnsi="Arial Narrow" w:cs="TTE1EB4B68t00"/>
                <w:color w:val="000000" w:themeColor="text1"/>
              </w:rPr>
              <w:t xml:space="preserve">Wenn Sie also einen Fonds a 30 Mio. Volumen und 2 Fonds a 5 Mio. Volumen zusammen versichern, dann benötigen Sie bei Einzelpolicen 1 x 3 </w:t>
            </w:r>
            <w:proofErr w:type="spellStart"/>
            <w:r w:rsidRPr="004A4963">
              <w:rPr>
                <w:rFonts w:ascii="Arial Narrow" w:hAnsi="Arial Narrow" w:cs="TTE1EB4B68t00"/>
                <w:color w:val="000000" w:themeColor="text1"/>
              </w:rPr>
              <w:t>Mio</w:t>
            </w:r>
            <w:proofErr w:type="spellEnd"/>
            <w:r w:rsidRPr="004A4963">
              <w:rPr>
                <w:rFonts w:ascii="Arial Narrow" w:hAnsi="Arial Narrow" w:cs="TTE1EB4B68t00"/>
                <w:color w:val="000000" w:themeColor="text1"/>
              </w:rPr>
              <w:t xml:space="preserve"> € und 2 x 1 </w:t>
            </w:r>
            <w:proofErr w:type="spellStart"/>
            <w:r w:rsidRPr="004A4963">
              <w:rPr>
                <w:rFonts w:ascii="Arial Narrow" w:hAnsi="Arial Narrow" w:cs="TTE1EB4B68t00"/>
                <w:color w:val="000000" w:themeColor="text1"/>
              </w:rPr>
              <w:t>Mio</w:t>
            </w:r>
            <w:proofErr w:type="spellEnd"/>
            <w:r w:rsidRPr="004A4963">
              <w:rPr>
                <w:rFonts w:ascii="Arial Narrow" w:hAnsi="Arial Narrow" w:cs="TTE1EB4B68t00"/>
                <w:color w:val="000000" w:themeColor="text1"/>
              </w:rPr>
              <w:t xml:space="preserve"> € Versicherungssumme, bei einer Sammelpolice hingegen nur 1x4 </w:t>
            </w:r>
            <w:proofErr w:type="spellStart"/>
            <w:r w:rsidRPr="004A4963">
              <w:rPr>
                <w:rFonts w:ascii="Arial Narrow" w:hAnsi="Arial Narrow" w:cs="TTE1EB4B68t00"/>
                <w:color w:val="000000" w:themeColor="text1"/>
              </w:rPr>
              <w:t>Mio</w:t>
            </w:r>
            <w:proofErr w:type="spellEnd"/>
            <w:r w:rsidRPr="004A4963">
              <w:rPr>
                <w:rFonts w:ascii="Arial Narrow" w:hAnsi="Arial Narrow" w:cs="TTE1EB4B68t00"/>
                <w:color w:val="000000" w:themeColor="text1"/>
              </w:rPr>
              <w:t xml:space="preserve"> €.  </w:t>
            </w:r>
          </w:p>
        </w:tc>
      </w:tr>
      <w:tr w:rsidR="00003D4B" w:rsidRPr="004A4963" w:rsidTr="00003D4B">
        <w:trPr>
          <w:trHeight w:val="195"/>
        </w:trPr>
        <w:tc>
          <w:tcPr>
            <w:tcW w:w="5000" w:type="pct"/>
            <w:shd w:val="clear" w:color="auto" w:fill="DBE5F1" w:themeFill="accent1" w:themeFillTint="33"/>
            <w:vAlign w:val="center"/>
          </w:tcPr>
          <w:p w:rsidR="00003D4B" w:rsidRPr="004A4963" w:rsidRDefault="00003D4B" w:rsidP="00003D4B">
            <w:pPr>
              <w:autoSpaceDE w:val="0"/>
              <w:autoSpaceDN w:val="0"/>
              <w:adjustRightInd w:val="0"/>
              <w:rPr>
                <w:rFonts w:ascii="Arial Narrow" w:hAnsi="Arial Narrow" w:cs="TTE1F54F90t00"/>
                <w:smallCaps/>
                <w:color w:val="000000" w:themeColor="text1"/>
              </w:rPr>
            </w:pPr>
            <w:r w:rsidRPr="004A4963">
              <w:rPr>
                <w:rFonts w:ascii="Arial Narrow" w:hAnsi="Arial Narrow" w:cs="TTE1F54F90t00"/>
                <w:smallCaps/>
                <w:color w:val="000000" w:themeColor="text1"/>
              </w:rPr>
              <w:t>Versicherung</w:t>
            </w:r>
          </w:p>
        </w:tc>
      </w:tr>
      <w:tr w:rsidR="00003D4B" w:rsidRPr="004A4963" w:rsidTr="00003D4B">
        <w:trPr>
          <w:trHeight w:val="195"/>
        </w:trPr>
        <w:tc>
          <w:tcPr>
            <w:tcW w:w="5000" w:type="pct"/>
            <w:shd w:val="clear" w:color="auto" w:fill="FFFFFF" w:themeFill="background1"/>
            <w:vAlign w:val="center"/>
          </w:tcPr>
          <w:p w:rsidR="00003D4B" w:rsidRPr="004A4963" w:rsidRDefault="004A4963" w:rsidP="004A4963">
            <w:pPr>
              <w:autoSpaceDE w:val="0"/>
              <w:autoSpaceDN w:val="0"/>
              <w:adjustRightInd w:val="0"/>
              <w:spacing w:before="120" w:after="120"/>
              <w:rPr>
                <w:rFonts w:ascii="Arial Narrow" w:hAnsi="Arial Narrow" w:cs="TTE1EB4B68t00"/>
                <w:color w:val="000000" w:themeColor="text1"/>
              </w:rPr>
            </w:pPr>
            <w:r w:rsidRPr="004A4963">
              <w:rPr>
                <w:rFonts w:ascii="Arial Narrow" w:hAnsi="Arial Narrow" w:cs="TTE1EB4B68t00"/>
                <w:color w:val="000000" w:themeColor="text1"/>
              </w:rPr>
              <w:t xml:space="preserve">MAC kann Deckungssummen bis zu 16,5 </w:t>
            </w:r>
            <w:proofErr w:type="spellStart"/>
            <w:r w:rsidRPr="004A4963">
              <w:rPr>
                <w:rFonts w:ascii="Arial Narrow" w:hAnsi="Arial Narrow" w:cs="TTE1EB4B68t00"/>
                <w:color w:val="000000" w:themeColor="text1"/>
              </w:rPr>
              <w:t>Mio</w:t>
            </w:r>
            <w:proofErr w:type="spellEnd"/>
            <w:r w:rsidRPr="004A4963">
              <w:rPr>
                <w:rFonts w:ascii="Arial Narrow" w:hAnsi="Arial Narrow" w:cs="TTE1EB4B68t00"/>
                <w:color w:val="000000" w:themeColor="text1"/>
              </w:rPr>
              <w:t xml:space="preserve"> € alleine anbieten und im Verbund mit anderen Versicherern auch mehr. </w:t>
            </w:r>
            <w:r w:rsidR="00003D4B" w:rsidRPr="004A4963">
              <w:rPr>
                <w:rFonts w:ascii="Arial Narrow" w:hAnsi="Arial Narrow" w:cs="TTE1EB4B68t00"/>
                <w:color w:val="000000" w:themeColor="text1"/>
              </w:rPr>
              <w:t xml:space="preserve"> </w:t>
            </w:r>
          </w:p>
        </w:tc>
      </w:tr>
      <w:tr w:rsidR="00003D4B" w:rsidRPr="004A4963" w:rsidTr="00003D4B">
        <w:trPr>
          <w:trHeight w:val="384"/>
        </w:trPr>
        <w:tc>
          <w:tcPr>
            <w:tcW w:w="5000" w:type="pct"/>
            <w:shd w:val="clear" w:color="auto" w:fill="DBE5F1" w:themeFill="accent1" w:themeFillTint="33"/>
            <w:vAlign w:val="center"/>
          </w:tcPr>
          <w:p w:rsidR="00003D4B" w:rsidRPr="004A4963" w:rsidRDefault="00003D4B" w:rsidP="00003D4B">
            <w:pPr>
              <w:tabs>
                <w:tab w:val="left" w:pos="2355"/>
              </w:tabs>
              <w:rPr>
                <w:rFonts w:ascii="Arial Narrow" w:hAnsi="Arial Narrow"/>
                <w:bCs/>
                <w:smallCaps/>
                <w:color w:val="000000" w:themeColor="text1"/>
                <w:sz w:val="22"/>
                <w:szCs w:val="22"/>
              </w:rPr>
            </w:pPr>
            <w:r w:rsidRPr="004A4963">
              <w:rPr>
                <w:rFonts w:ascii="Arial Narrow" w:hAnsi="Arial Narrow"/>
                <w:bCs/>
                <w:smallCaps/>
                <w:color w:val="000000" w:themeColor="text1"/>
                <w:sz w:val="22"/>
                <w:szCs w:val="22"/>
              </w:rPr>
              <w:t>Ansprechpartner</w:t>
            </w:r>
          </w:p>
        </w:tc>
      </w:tr>
      <w:tr w:rsidR="0054442E" w:rsidRPr="004A4963" w:rsidTr="00003D4B">
        <w:trPr>
          <w:trHeight w:val="503"/>
        </w:trPr>
        <w:tc>
          <w:tcPr>
            <w:tcW w:w="5000" w:type="pct"/>
            <w:shd w:val="clear" w:color="auto" w:fill="FFFFFF" w:themeFill="background1"/>
            <w:vAlign w:val="center"/>
          </w:tcPr>
          <w:p w:rsidR="0054442E" w:rsidRPr="004A4963" w:rsidRDefault="00003D4B" w:rsidP="002911FA">
            <w:pPr>
              <w:tabs>
                <w:tab w:val="left" w:pos="2355"/>
              </w:tabs>
              <w:rPr>
                <w:rFonts w:ascii="Arial Narrow" w:hAnsi="Arial Narrow"/>
                <w:bCs/>
                <w:color w:val="000000" w:themeColor="text1"/>
                <w:sz w:val="22"/>
                <w:szCs w:val="22"/>
              </w:rPr>
            </w:pPr>
            <w:r w:rsidRPr="004A4963">
              <w:rPr>
                <w:rFonts w:ascii="Arial Narrow" w:hAnsi="Arial Narrow"/>
                <w:bCs/>
                <w:color w:val="000000" w:themeColor="text1"/>
                <w:sz w:val="22"/>
                <w:szCs w:val="22"/>
              </w:rPr>
              <w:t>H. Schaaff Tel. 089 95444880</w:t>
            </w:r>
          </w:p>
        </w:tc>
      </w:tr>
      <w:tr w:rsidR="0054442E" w:rsidRPr="004A4963" w:rsidTr="00003D4B">
        <w:trPr>
          <w:trHeight w:val="195"/>
        </w:trPr>
        <w:tc>
          <w:tcPr>
            <w:tcW w:w="5000" w:type="pct"/>
            <w:shd w:val="clear" w:color="auto" w:fill="DBE5F1" w:themeFill="accent1" w:themeFillTint="33"/>
            <w:vAlign w:val="center"/>
          </w:tcPr>
          <w:p w:rsidR="0054442E" w:rsidRPr="004A4963" w:rsidRDefault="0054442E" w:rsidP="0054442E">
            <w:pPr>
              <w:tabs>
                <w:tab w:val="right" w:pos="9072"/>
              </w:tabs>
              <w:rPr>
                <w:rFonts w:ascii="Arial Narrow" w:hAnsi="Arial Narrow"/>
                <w:color w:val="000000" w:themeColor="text1"/>
                <w:sz w:val="22"/>
                <w:szCs w:val="22"/>
                <w:lang w:val="en-US"/>
              </w:rPr>
            </w:pPr>
          </w:p>
        </w:tc>
      </w:tr>
      <w:tr w:rsidR="0054442E" w:rsidRPr="004A4963" w:rsidTr="00003D4B">
        <w:trPr>
          <w:trHeight w:val="195"/>
        </w:trPr>
        <w:tc>
          <w:tcPr>
            <w:tcW w:w="5000" w:type="pct"/>
            <w:shd w:val="clear" w:color="auto" w:fill="8DB3E2" w:themeFill="text2" w:themeFillTint="66"/>
            <w:vAlign w:val="center"/>
          </w:tcPr>
          <w:p w:rsidR="0054442E" w:rsidRPr="004A4963" w:rsidRDefault="0054442E" w:rsidP="00F6323D">
            <w:pPr>
              <w:tabs>
                <w:tab w:val="left" w:pos="2355"/>
              </w:tabs>
              <w:rPr>
                <w:rFonts w:ascii="Arial Narrow" w:hAnsi="Arial Narrow"/>
                <w:bCs/>
                <w:color w:val="000000" w:themeColor="text1"/>
                <w:lang w:val="en-US"/>
              </w:rPr>
            </w:pPr>
            <w:r w:rsidRPr="004A4963">
              <w:rPr>
                <w:rFonts w:ascii="Arial Narrow" w:hAnsi="Arial Narrow"/>
                <w:color w:val="000000" w:themeColor="text1"/>
                <w:lang w:val="en-US"/>
              </w:rPr>
              <w:t xml:space="preserve">  </w:t>
            </w:r>
          </w:p>
        </w:tc>
      </w:tr>
    </w:tbl>
    <w:p w:rsidR="008E14FB" w:rsidRPr="004A4963" w:rsidRDefault="005E5F71" w:rsidP="003D7B36">
      <w:pPr>
        <w:tabs>
          <w:tab w:val="left" w:pos="2355"/>
        </w:tabs>
        <w:rPr>
          <w:rFonts w:ascii="Arial Narrow" w:hAnsi="Arial Narrow"/>
          <w:color w:val="000000" w:themeColor="text1"/>
          <w:sz w:val="22"/>
          <w:lang w:val="en-US"/>
        </w:rPr>
      </w:pPr>
      <w:r w:rsidRPr="004A4963">
        <w:rPr>
          <w:rFonts w:ascii="Arial Narrow" w:hAnsi="Arial Narrow"/>
          <w:color w:val="000000" w:themeColor="text1"/>
          <w:sz w:val="22"/>
          <w:lang w:val="en-US" w:bidi="bn-IN"/>
        </w:rPr>
        <w:t xml:space="preserve"> </w:t>
      </w:r>
    </w:p>
    <w:sectPr w:rsidR="008E14FB" w:rsidRPr="004A4963" w:rsidSect="001F657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B81" w:rsidRDefault="00E92B81" w:rsidP="003D7B36">
      <w:r>
        <w:separator/>
      </w:r>
    </w:p>
  </w:endnote>
  <w:endnote w:type="continuationSeparator" w:id="0">
    <w:p w:rsidR="00E92B81" w:rsidRDefault="00E92B81" w:rsidP="003D7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1F67328t00">
    <w:panose1 w:val="00000000000000000000"/>
    <w:charset w:val="00"/>
    <w:family w:val="auto"/>
    <w:notTrueType/>
    <w:pitch w:val="default"/>
    <w:sig w:usb0="00000003" w:usb1="00000000" w:usb2="00000000" w:usb3="00000000" w:csb0="00000001" w:csb1="00000000"/>
  </w:font>
  <w:font w:name="TTE1F54F90t00">
    <w:panose1 w:val="00000000000000000000"/>
    <w:charset w:val="00"/>
    <w:family w:val="auto"/>
    <w:notTrueType/>
    <w:pitch w:val="default"/>
    <w:sig w:usb0="00000003" w:usb1="00000000" w:usb2="00000000" w:usb3="00000000" w:csb0="00000001" w:csb1="00000000"/>
  </w:font>
  <w:font w:name="TTE1EB4B6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81" w:rsidRPr="00003D4B" w:rsidRDefault="00E92B81">
    <w:pPr>
      <w:pStyle w:val="Fuzeile"/>
      <w:rPr>
        <w:sz w:val="16"/>
        <w:szCs w:val="16"/>
      </w:rPr>
    </w:pPr>
    <w:r w:rsidRPr="00003D4B">
      <w:rPr>
        <w:sz w:val="16"/>
        <w:szCs w:val="16"/>
      </w:rPr>
      <w:t xml:space="preserve">Aus rechtlichen Gründen kann für </w:t>
    </w:r>
    <w:r>
      <w:rPr>
        <w:sz w:val="16"/>
        <w:szCs w:val="16"/>
      </w:rPr>
      <w:t>obenstehende Information keine H</w:t>
    </w:r>
    <w:r w:rsidRPr="00003D4B">
      <w:rPr>
        <w:sz w:val="16"/>
        <w:szCs w:val="16"/>
      </w:rPr>
      <w:t>aftung übernommen werden.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B81" w:rsidRDefault="00E92B81" w:rsidP="003D7B36">
      <w:r>
        <w:separator/>
      </w:r>
    </w:p>
  </w:footnote>
  <w:footnote w:type="continuationSeparator" w:id="0">
    <w:p w:rsidR="00E92B81" w:rsidRDefault="00E92B81" w:rsidP="003D7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B81" w:rsidRDefault="00E92B81" w:rsidP="00261DA4">
    <w:pPr>
      <w:jc w:val="center"/>
      <w:rPr>
        <w:rFonts w:ascii="Arial" w:hAnsi="Arial" w:cs="Arial"/>
        <w:b/>
        <w:bCs/>
        <w:sz w:val="16"/>
        <w:szCs w:val="16"/>
        <w:u w:val="single"/>
      </w:rPr>
    </w:pPr>
  </w:p>
  <w:p w:rsidR="00E92B81" w:rsidRDefault="00E92B81" w:rsidP="001F6571">
    <w:pPr>
      <w:jc w:val="center"/>
      <w:rPr>
        <w:rFonts w:ascii="Arial" w:hAnsi="Arial" w:cs="Arial"/>
        <w:b/>
        <w:bCs/>
        <w:sz w:val="16"/>
        <w:szCs w:val="1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8F3"/>
    <w:multiLevelType w:val="hybridMultilevel"/>
    <w:tmpl w:val="5914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0A64DB"/>
    <w:multiLevelType w:val="hybridMultilevel"/>
    <w:tmpl w:val="F86CD4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180CE8"/>
    <w:multiLevelType w:val="hybridMultilevel"/>
    <w:tmpl w:val="B8BED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153490"/>
    <w:multiLevelType w:val="hybridMultilevel"/>
    <w:tmpl w:val="5EA69E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rsids>
    <w:rsidRoot w:val="003D7B36"/>
    <w:rsid w:val="00003D4B"/>
    <w:rsid w:val="000822AF"/>
    <w:rsid w:val="000E5183"/>
    <w:rsid w:val="001236F6"/>
    <w:rsid w:val="00125139"/>
    <w:rsid w:val="00146825"/>
    <w:rsid w:val="00153537"/>
    <w:rsid w:val="001A6F80"/>
    <w:rsid w:val="001F0F16"/>
    <w:rsid w:val="001F6571"/>
    <w:rsid w:val="00246654"/>
    <w:rsid w:val="00250279"/>
    <w:rsid w:val="002551C9"/>
    <w:rsid w:val="00261DA4"/>
    <w:rsid w:val="00273536"/>
    <w:rsid w:val="002766AF"/>
    <w:rsid w:val="00277B9C"/>
    <w:rsid w:val="002911FA"/>
    <w:rsid w:val="002B5E51"/>
    <w:rsid w:val="002C35C9"/>
    <w:rsid w:val="002C465E"/>
    <w:rsid w:val="002C63EC"/>
    <w:rsid w:val="00307BEC"/>
    <w:rsid w:val="00311046"/>
    <w:rsid w:val="003979BA"/>
    <w:rsid w:val="003D7B36"/>
    <w:rsid w:val="003E0C5B"/>
    <w:rsid w:val="00410DA6"/>
    <w:rsid w:val="00434E29"/>
    <w:rsid w:val="00473FEB"/>
    <w:rsid w:val="004A4963"/>
    <w:rsid w:val="004B5C08"/>
    <w:rsid w:val="004C5AB4"/>
    <w:rsid w:val="004F4BF8"/>
    <w:rsid w:val="0054442E"/>
    <w:rsid w:val="005A13A9"/>
    <w:rsid w:val="005B72DC"/>
    <w:rsid w:val="005C0CB5"/>
    <w:rsid w:val="005C421A"/>
    <w:rsid w:val="005E5F71"/>
    <w:rsid w:val="0061038C"/>
    <w:rsid w:val="00616956"/>
    <w:rsid w:val="006179DF"/>
    <w:rsid w:val="00622A91"/>
    <w:rsid w:val="00641104"/>
    <w:rsid w:val="00642563"/>
    <w:rsid w:val="00653E6F"/>
    <w:rsid w:val="00673C71"/>
    <w:rsid w:val="00681000"/>
    <w:rsid w:val="006F4D6F"/>
    <w:rsid w:val="0075395B"/>
    <w:rsid w:val="007A341D"/>
    <w:rsid w:val="00827595"/>
    <w:rsid w:val="008570CA"/>
    <w:rsid w:val="008D0F33"/>
    <w:rsid w:val="008D3CCC"/>
    <w:rsid w:val="008E14FB"/>
    <w:rsid w:val="008F4F1A"/>
    <w:rsid w:val="0097260F"/>
    <w:rsid w:val="00990056"/>
    <w:rsid w:val="009E4EED"/>
    <w:rsid w:val="00A22C5E"/>
    <w:rsid w:val="00A35D2A"/>
    <w:rsid w:val="00A777E6"/>
    <w:rsid w:val="00A84A7C"/>
    <w:rsid w:val="00AB1E1F"/>
    <w:rsid w:val="00AD0F9A"/>
    <w:rsid w:val="00B05A61"/>
    <w:rsid w:val="00B21F30"/>
    <w:rsid w:val="00B31230"/>
    <w:rsid w:val="00B365E1"/>
    <w:rsid w:val="00B43ABB"/>
    <w:rsid w:val="00B449FE"/>
    <w:rsid w:val="00B7331A"/>
    <w:rsid w:val="00BA31EF"/>
    <w:rsid w:val="00BA628B"/>
    <w:rsid w:val="00BB0358"/>
    <w:rsid w:val="00C20DF2"/>
    <w:rsid w:val="00C5185F"/>
    <w:rsid w:val="00C918AE"/>
    <w:rsid w:val="00CB06A9"/>
    <w:rsid w:val="00CB24E8"/>
    <w:rsid w:val="00D36A35"/>
    <w:rsid w:val="00D37D1F"/>
    <w:rsid w:val="00D64893"/>
    <w:rsid w:val="00DE0756"/>
    <w:rsid w:val="00E271C2"/>
    <w:rsid w:val="00E3775D"/>
    <w:rsid w:val="00E51B6D"/>
    <w:rsid w:val="00E722FA"/>
    <w:rsid w:val="00E776E0"/>
    <w:rsid w:val="00E822C0"/>
    <w:rsid w:val="00E92B81"/>
    <w:rsid w:val="00EC50DB"/>
    <w:rsid w:val="00F37269"/>
    <w:rsid w:val="00F6323D"/>
    <w:rsid w:val="00F91A53"/>
    <w:rsid w:val="00FA189A"/>
    <w:rsid w:val="00FC09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B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B36"/>
    <w:pPr>
      <w:tabs>
        <w:tab w:val="center" w:pos="4536"/>
        <w:tab w:val="right" w:pos="9072"/>
      </w:tabs>
    </w:pPr>
  </w:style>
  <w:style w:type="character" w:customStyle="1" w:styleId="KopfzeileZchn">
    <w:name w:val="Kopfzeile Zchn"/>
    <w:basedOn w:val="Absatz-Standardschriftart"/>
    <w:link w:val="Kopfzeile"/>
    <w:rsid w:val="003D7B36"/>
  </w:style>
  <w:style w:type="paragraph" w:styleId="Fuzeile">
    <w:name w:val="footer"/>
    <w:basedOn w:val="Standard"/>
    <w:link w:val="FuzeileZchn"/>
    <w:unhideWhenUsed/>
    <w:rsid w:val="003D7B36"/>
    <w:pPr>
      <w:tabs>
        <w:tab w:val="center" w:pos="4536"/>
        <w:tab w:val="right" w:pos="9072"/>
      </w:tabs>
    </w:pPr>
  </w:style>
  <w:style w:type="character" w:customStyle="1" w:styleId="FuzeileZchn">
    <w:name w:val="Fußzeile Zchn"/>
    <w:basedOn w:val="Absatz-Standardschriftart"/>
    <w:link w:val="Fuzeile"/>
    <w:rsid w:val="003D7B36"/>
  </w:style>
  <w:style w:type="character" w:styleId="Hyperlink">
    <w:name w:val="Hyperlink"/>
    <w:rsid w:val="003D7B36"/>
    <w:rPr>
      <w:color w:val="0000FF"/>
      <w:u w:val="single"/>
    </w:rPr>
  </w:style>
  <w:style w:type="paragraph" w:styleId="Sprechblasentext">
    <w:name w:val="Balloon Text"/>
    <w:basedOn w:val="Standard"/>
    <w:link w:val="SprechblasentextZchn"/>
    <w:uiPriority w:val="99"/>
    <w:semiHidden/>
    <w:unhideWhenUsed/>
    <w:rsid w:val="00261D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DA4"/>
    <w:rPr>
      <w:rFonts w:ascii="Tahoma" w:eastAsia="Times New Roman" w:hAnsi="Tahoma" w:cs="Tahoma"/>
      <w:sz w:val="16"/>
      <w:szCs w:val="16"/>
      <w:lang w:eastAsia="de-DE"/>
    </w:rPr>
  </w:style>
  <w:style w:type="table" w:styleId="Tabellengitternetz">
    <w:name w:val="Table Grid"/>
    <w:basedOn w:val="NormaleTabelle"/>
    <w:uiPriority w:val="59"/>
    <w:rsid w:val="002911F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F6323D"/>
    <w:rPr>
      <w:color w:val="808080"/>
    </w:rPr>
  </w:style>
  <w:style w:type="paragraph" w:styleId="Listenabsatz">
    <w:name w:val="List Paragraph"/>
    <w:basedOn w:val="Standard"/>
    <w:uiPriority w:val="34"/>
    <w:qFormat/>
    <w:rsid w:val="00003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B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B36"/>
    <w:pPr>
      <w:tabs>
        <w:tab w:val="center" w:pos="4536"/>
        <w:tab w:val="right" w:pos="9072"/>
      </w:tabs>
    </w:pPr>
  </w:style>
  <w:style w:type="character" w:customStyle="1" w:styleId="KopfzeileZchn">
    <w:name w:val="Kopfzeile Zchn"/>
    <w:basedOn w:val="Absatz-Standardschriftart"/>
    <w:link w:val="Kopfzeile"/>
    <w:rsid w:val="003D7B36"/>
  </w:style>
  <w:style w:type="paragraph" w:styleId="Fuzeile">
    <w:name w:val="footer"/>
    <w:basedOn w:val="Standard"/>
    <w:link w:val="FuzeileZchn"/>
    <w:unhideWhenUsed/>
    <w:rsid w:val="003D7B36"/>
    <w:pPr>
      <w:tabs>
        <w:tab w:val="center" w:pos="4536"/>
        <w:tab w:val="right" w:pos="9072"/>
      </w:tabs>
    </w:pPr>
  </w:style>
  <w:style w:type="character" w:customStyle="1" w:styleId="FuzeileZchn">
    <w:name w:val="Fußzeile Zchn"/>
    <w:basedOn w:val="Absatz-Standardschriftart"/>
    <w:link w:val="Fuzeile"/>
    <w:rsid w:val="003D7B36"/>
  </w:style>
  <w:style w:type="character" w:styleId="Hyperlink">
    <w:name w:val="Hyperlink"/>
    <w:rsid w:val="003D7B36"/>
    <w:rPr>
      <w:color w:val="0000FF"/>
      <w:u w:val="single"/>
    </w:rPr>
  </w:style>
  <w:style w:type="paragraph" w:styleId="Sprechblasentext">
    <w:name w:val="Balloon Text"/>
    <w:basedOn w:val="Standard"/>
    <w:link w:val="SprechblasentextZchn"/>
    <w:uiPriority w:val="99"/>
    <w:semiHidden/>
    <w:unhideWhenUsed/>
    <w:rsid w:val="00261D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DA4"/>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202788684">
      <w:bodyDiv w:val="1"/>
      <w:marLeft w:val="0"/>
      <w:marRight w:val="0"/>
      <w:marTop w:val="0"/>
      <w:marBottom w:val="0"/>
      <w:divBdr>
        <w:top w:val="none" w:sz="0" w:space="0" w:color="auto"/>
        <w:left w:val="none" w:sz="0" w:space="0" w:color="auto"/>
        <w:bottom w:val="none" w:sz="0" w:space="0" w:color="auto"/>
        <w:right w:val="none" w:sz="0" w:space="0" w:color="auto"/>
      </w:divBdr>
    </w:div>
    <w:div w:id="371662041">
      <w:bodyDiv w:val="1"/>
      <w:marLeft w:val="0"/>
      <w:marRight w:val="0"/>
      <w:marTop w:val="0"/>
      <w:marBottom w:val="0"/>
      <w:divBdr>
        <w:top w:val="none" w:sz="0" w:space="0" w:color="auto"/>
        <w:left w:val="none" w:sz="0" w:space="0" w:color="auto"/>
        <w:bottom w:val="none" w:sz="0" w:space="0" w:color="auto"/>
        <w:right w:val="none" w:sz="0" w:space="0" w:color="auto"/>
      </w:divBdr>
    </w:div>
    <w:div w:id="1139805094">
      <w:bodyDiv w:val="1"/>
      <w:marLeft w:val="0"/>
      <w:marRight w:val="0"/>
      <w:marTop w:val="0"/>
      <w:marBottom w:val="0"/>
      <w:divBdr>
        <w:top w:val="none" w:sz="0" w:space="0" w:color="auto"/>
        <w:left w:val="none" w:sz="0" w:space="0" w:color="auto"/>
        <w:bottom w:val="none" w:sz="0" w:space="0" w:color="auto"/>
        <w:right w:val="none" w:sz="0" w:space="0" w:color="auto"/>
      </w:divBdr>
    </w:div>
    <w:div w:id="1572696852">
      <w:bodyDiv w:val="1"/>
      <w:marLeft w:val="0"/>
      <w:marRight w:val="0"/>
      <w:marTop w:val="0"/>
      <w:marBottom w:val="0"/>
      <w:divBdr>
        <w:top w:val="none" w:sz="0" w:space="0" w:color="auto"/>
        <w:left w:val="none" w:sz="0" w:space="0" w:color="auto"/>
        <w:bottom w:val="none" w:sz="0" w:space="0" w:color="auto"/>
        <w:right w:val="none" w:sz="0" w:space="0" w:color="auto"/>
      </w:divBdr>
    </w:div>
    <w:div w:id="19238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fin.de/SharedDocs/Veroeffentlichungen/DE/Merkblatt/WA/mb_130718_treuhaender_verwahrstelle_80-3-kagb.html?nn=28184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s-Georg.Carny@bafin.de" TargetMode="External"/><Relationship Id="rId1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65B0-7226-46B1-9555-3D684FF1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Schaaff</dc:creator>
  <cp:lastModifiedBy>schaaff</cp:lastModifiedBy>
  <cp:revision>3</cp:revision>
  <cp:lastPrinted>2015-12-06T19:26:00Z</cp:lastPrinted>
  <dcterms:created xsi:type="dcterms:W3CDTF">2015-12-21T16:34:00Z</dcterms:created>
  <dcterms:modified xsi:type="dcterms:W3CDTF">2015-12-21T16:50:00Z</dcterms:modified>
</cp:coreProperties>
</file>