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18" w:type="pct"/>
        <w:tblInd w:w="-34" w:type="dxa"/>
        <w:tblLayout w:type="fixed"/>
        <w:tblLook w:val="0600"/>
      </w:tblPr>
      <w:tblGrid>
        <w:gridCol w:w="10064"/>
      </w:tblGrid>
      <w:tr w:rsidR="00CB06A9" w:rsidRPr="00003D4B" w:rsidTr="00003D4B">
        <w:trPr>
          <w:trHeight w:val="662"/>
        </w:trPr>
        <w:tc>
          <w:tcPr>
            <w:tcW w:w="5000" w:type="pct"/>
            <w:shd w:val="clear" w:color="auto" w:fill="8DB3E2" w:themeFill="text2" w:themeFillTint="66"/>
            <w:vAlign w:val="center"/>
          </w:tcPr>
          <w:p w:rsidR="00CB06A9" w:rsidRPr="001542B8" w:rsidRDefault="00003D4B" w:rsidP="001542B8">
            <w:pPr>
              <w:rPr>
                <w:rFonts w:ascii="Arial Narrow" w:hAnsi="Arial Narrow"/>
                <w:smallCaps/>
                <w:color w:val="FFFFFF" w:themeColor="background1"/>
                <w:sz w:val="36"/>
                <w:szCs w:val="36"/>
              </w:rPr>
            </w:pPr>
            <w:r w:rsidRPr="001542B8">
              <w:rPr>
                <w:rFonts w:ascii="Arial Narrow" w:hAnsi="Arial Narrow"/>
                <w:color w:val="000000" w:themeColor="text1"/>
                <w:sz w:val="36"/>
                <w:szCs w:val="36"/>
              </w:rPr>
              <w:t xml:space="preserve"> </w:t>
            </w:r>
            <w:r w:rsidR="006402E0" w:rsidRPr="001542B8">
              <w:rPr>
                <w:rFonts w:ascii="Arial Narrow" w:hAnsi="Arial Narrow"/>
                <w:smallCaps/>
                <w:noProof/>
                <w:color w:val="FFFFFF" w:themeColor="background1"/>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68058" o:spid="_x0000_s1026" type="#_x0000_t136" style="position:absolute;margin-left:0;margin-top:0;width:142.5pt;height:23.25pt;rotation:315;z-index:-251658752;mso-position-horizontal:center;mso-position-horizontal-relative:margin;mso-position-vertical:center;mso-position-vertical-relative:margin" o:allowincell="f" fillcolor="silver" stroked="f">
                  <v:fill opacity=".5"/>
                  <v:textpath style="font-family:&quot;Times New Roman&quot;;font-size:20pt" string="© Harald Schaaff"/>
                  <w10:wrap anchorx="margin" anchory="margin"/>
                </v:shape>
              </w:pict>
            </w:r>
            <w:r w:rsidR="001542B8" w:rsidRPr="001542B8">
              <w:rPr>
                <w:rFonts w:ascii="Arial Narrow" w:hAnsi="Arial Narrow"/>
                <w:smallCaps/>
                <w:noProof/>
                <w:color w:val="FFFFFF" w:themeColor="background1"/>
                <w:sz w:val="36"/>
                <w:szCs w:val="36"/>
              </w:rPr>
              <w:t>prospekthaftung</w:t>
            </w:r>
            <w:r w:rsidR="00D67F2E" w:rsidRPr="001542B8">
              <w:rPr>
                <w:rFonts w:ascii="Arial Narrow" w:hAnsi="Arial Narrow"/>
                <w:smallCaps/>
                <w:color w:val="FFFFFF" w:themeColor="background1"/>
                <w:sz w:val="36"/>
                <w:szCs w:val="36"/>
              </w:rPr>
              <w:t xml:space="preserve"> </w:t>
            </w:r>
          </w:p>
        </w:tc>
      </w:tr>
      <w:tr w:rsidR="00003D4B" w:rsidRPr="0054442E" w:rsidTr="001542B8">
        <w:trPr>
          <w:trHeight w:val="195"/>
        </w:trPr>
        <w:tc>
          <w:tcPr>
            <w:tcW w:w="5000" w:type="pct"/>
            <w:shd w:val="clear" w:color="auto" w:fill="FFFFFF" w:themeFill="background1"/>
            <w:vAlign w:val="center"/>
          </w:tcPr>
          <w:p w:rsidR="001542B8" w:rsidRPr="001542B8" w:rsidRDefault="001542B8" w:rsidP="001542B8">
            <w:pPr>
              <w:shd w:val="clear" w:color="auto" w:fill="FFFFFF" w:themeFill="background1"/>
              <w:autoSpaceDE w:val="0"/>
              <w:autoSpaceDN w:val="0"/>
              <w:adjustRightInd w:val="0"/>
              <w:rPr>
                <w:rFonts w:ascii="Arial Narrow" w:hAnsi="Arial Narrow"/>
                <w:smallCaps/>
                <w:sz w:val="18"/>
                <w:szCs w:val="18"/>
              </w:rPr>
            </w:pPr>
            <w:r w:rsidRPr="001542B8">
              <w:rPr>
                <w:rFonts w:ascii="Arial Narrow" w:hAnsi="Arial Narrow"/>
                <w:sz w:val="18"/>
                <w:szCs w:val="18"/>
              </w:rPr>
              <w:t xml:space="preserve">Eine sorgfältige Prospekterstellung kann das Risiko minimieren, aber Fehler sind nie ganz auszuschließen, nur zu versichern. </w:t>
            </w:r>
          </w:p>
        </w:tc>
      </w:tr>
      <w:tr w:rsidR="007F1765" w:rsidRPr="00003D4B" w:rsidTr="001542B8">
        <w:trPr>
          <w:trHeight w:val="240"/>
        </w:trPr>
        <w:tc>
          <w:tcPr>
            <w:tcW w:w="5000" w:type="pct"/>
            <w:shd w:val="clear" w:color="auto" w:fill="DBE5F1" w:themeFill="accent1" w:themeFillTint="33"/>
            <w:vAlign w:val="center"/>
          </w:tcPr>
          <w:p w:rsidR="007F1765" w:rsidRPr="001542B8" w:rsidRDefault="001542B8" w:rsidP="007F1765">
            <w:pPr>
              <w:autoSpaceDE w:val="0"/>
              <w:autoSpaceDN w:val="0"/>
              <w:adjustRightInd w:val="0"/>
              <w:rPr>
                <w:rFonts w:ascii="Arial Narrow" w:hAnsi="Arial Narrow"/>
                <w:smallCaps/>
                <w:color w:val="000000"/>
                <w:sz w:val="18"/>
                <w:szCs w:val="18"/>
                <w:lang w:bidi="bn-IN"/>
              </w:rPr>
            </w:pPr>
            <w:r w:rsidRPr="001542B8">
              <w:rPr>
                <w:rFonts w:ascii="Arial Narrow" w:hAnsi="Arial Narrow"/>
                <w:smallCaps/>
                <w:sz w:val="18"/>
                <w:szCs w:val="18"/>
              </w:rPr>
              <w:t>WAS IST EIN PROSPEKT</w:t>
            </w:r>
          </w:p>
        </w:tc>
      </w:tr>
      <w:tr w:rsidR="007F1765" w:rsidRPr="00003D4B" w:rsidTr="007F1765">
        <w:trPr>
          <w:trHeight w:val="195"/>
        </w:trPr>
        <w:tc>
          <w:tcPr>
            <w:tcW w:w="5000" w:type="pct"/>
            <w:shd w:val="clear" w:color="auto" w:fill="FFFFFF" w:themeFill="background1"/>
            <w:vAlign w:val="center"/>
          </w:tcPr>
          <w:p w:rsidR="007F1765" w:rsidRPr="001542B8" w:rsidRDefault="001542B8" w:rsidP="001542B8">
            <w:pPr>
              <w:shd w:val="clear" w:color="auto" w:fill="FFFFFF" w:themeFill="background1"/>
              <w:autoSpaceDE w:val="0"/>
              <w:autoSpaceDN w:val="0"/>
              <w:adjustRightInd w:val="0"/>
              <w:spacing w:before="120"/>
              <w:rPr>
                <w:rFonts w:ascii="Arial Narrow" w:hAnsi="Arial Narrow"/>
                <w:sz w:val="18"/>
                <w:szCs w:val="18"/>
              </w:rPr>
            </w:pPr>
            <w:r w:rsidRPr="001542B8">
              <w:rPr>
                <w:rFonts w:ascii="Arial Narrow" w:hAnsi="Arial Narrow"/>
                <w:sz w:val="18"/>
                <w:szCs w:val="18"/>
              </w:rPr>
              <w:t xml:space="preserve">Im Bereich der gesetzlichen Prospekthaftung beschreibt das Gesetz (u. a. § 42 </w:t>
            </w:r>
            <w:proofErr w:type="spellStart"/>
            <w:r w:rsidRPr="001542B8">
              <w:rPr>
                <w:rFonts w:ascii="Arial Narrow" w:hAnsi="Arial Narrow"/>
                <w:sz w:val="18"/>
                <w:szCs w:val="18"/>
              </w:rPr>
              <w:t>InvG</w:t>
            </w:r>
            <w:proofErr w:type="spellEnd"/>
            <w:r w:rsidRPr="001542B8">
              <w:rPr>
                <w:rFonts w:ascii="Arial Narrow" w:hAnsi="Arial Narrow"/>
                <w:sz w:val="18"/>
                <w:szCs w:val="18"/>
              </w:rPr>
              <w:t xml:space="preserve">), was ein Prospekt ist. Im Bereich der </w:t>
            </w:r>
            <w:proofErr w:type="spellStart"/>
            <w:r w:rsidRPr="001542B8">
              <w:rPr>
                <w:rFonts w:ascii="Arial Narrow" w:hAnsi="Arial Narrow"/>
                <w:sz w:val="18"/>
                <w:szCs w:val="18"/>
              </w:rPr>
              <w:t>richterrechtlichen</w:t>
            </w:r>
            <w:proofErr w:type="spellEnd"/>
            <w:r w:rsidRPr="001542B8">
              <w:rPr>
                <w:rFonts w:ascii="Arial Narrow" w:hAnsi="Arial Narrow"/>
                <w:sz w:val="18"/>
                <w:szCs w:val="18"/>
              </w:rPr>
              <w:t xml:space="preserve"> Prospekthaftung galt hingegen auch jedes Werbemittel, das der Information und Akquisition von Kapitalanlegern dient und für diese eine wesentliche Entscheidungsgrundlage bildet, als Prospekt (WM 80, 794).</w:t>
            </w:r>
          </w:p>
        </w:tc>
      </w:tr>
      <w:tr w:rsidR="007F1765" w:rsidRPr="00003D4B" w:rsidTr="001542B8">
        <w:trPr>
          <w:trHeight w:val="238"/>
        </w:trPr>
        <w:tc>
          <w:tcPr>
            <w:tcW w:w="5000" w:type="pct"/>
            <w:shd w:val="clear" w:color="auto" w:fill="DBE5F1" w:themeFill="accent1" w:themeFillTint="33"/>
            <w:vAlign w:val="center"/>
          </w:tcPr>
          <w:p w:rsidR="007F1765" w:rsidRPr="001542B8" w:rsidRDefault="001542B8" w:rsidP="007F1765">
            <w:pPr>
              <w:autoSpaceDE w:val="0"/>
              <w:autoSpaceDN w:val="0"/>
              <w:adjustRightInd w:val="0"/>
              <w:rPr>
                <w:rFonts w:ascii="Arial Narrow" w:hAnsi="Arial Narrow"/>
                <w:smallCaps/>
                <w:color w:val="000000"/>
                <w:sz w:val="18"/>
                <w:szCs w:val="18"/>
                <w:lang w:bidi="bn-IN"/>
              </w:rPr>
            </w:pPr>
            <w:r w:rsidRPr="001542B8">
              <w:rPr>
                <w:rFonts w:ascii="Arial Narrow" w:hAnsi="Arial Narrow"/>
                <w:smallCaps/>
                <w:sz w:val="18"/>
                <w:szCs w:val="18"/>
              </w:rPr>
              <w:t>ARTEN DER PROSPEKTHAFTUNG</w:t>
            </w:r>
          </w:p>
        </w:tc>
      </w:tr>
      <w:tr w:rsidR="007F1765" w:rsidRPr="00003D4B" w:rsidTr="007F1765">
        <w:trPr>
          <w:trHeight w:val="195"/>
        </w:trPr>
        <w:tc>
          <w:tcPr>
            <w:tcW w:w="5000" w:type="pct"/>
            <w:shd w:val="clear" w:color="auto" w:fill="FFFFFF" w:themeFill="background1"/>
            <w:vAlign w:val="center"/>
          </w:tcPr>
          <w:p w:rsidR="007F1765" w:rsidRPr="001542B8" w:rsidRDefault="001542B8" w:rsidP="001542B8">
            <w:pPr>
              <w:shd w:val="clear" w:color="auto" w:fill="FFFFFF" w:themeFill="background1"/>
              <w:autoSpaceDE w:val="0"/>
              <w:autoSpaceDN w:val="0"/>
              <w:adjustRightInd w:val="0"/>
              <w:spacing w:before="120"/>
              <w:rPr>
                <w:rFonts w:ascii="Arial Narrow" w:hAnsi="Arial Narrow"/>
                <w:sz w:val="18"/>
                <w:szCs w:val="18"/>
              </w:rPr>
            </w:pPr>
            <w:r w:rsidRPr="001542B8">
              <w:rPr>
                <w:rFonts w:ascii="Arial Narrow" w:hAnsi="Arial Narrow"/>
                <w:sz w:val="18"/>
                <w:szCs w:val="18"/>
              </w:rPr>
              <w:t xml:space="preserve">Es sind zu unterscheiden die (gesetzlich geregelte) </w:t>
            </w:r>
            <w:proofErr w:type="spellStart"/>
            <w:r w:rsidRPr="001542B8">
              <w:rPr>
                <w:rFonts w:ascii="Arial Narrow" w:hAnsi="Arial Narrow"/>
                <w:sz w:val="18"/>
                <w:szCs w:val="18"/>
              </w:rPr>
              <w:t>Prospekt¬haftung</w:t>
            </w:r>
            <w:proofErr w:type="spellEnd"/>
            <w:r w:rsidRPr="001542B8">
              <w:rPr>
                <w:rFonts w:ascii="Arial Narrow" w:hAnsi="Arial Narrow"/>
                <w:sz w:val="18"/>
                <w:szCs w:val="18"/>
              </w:rPr>
              <w:t xml:space="preserve"> im engeren Sinne und die </w:t>
            </w:r>
            <w:proofErr w:type="spellStart"/>
            <w:r w:rsidRPr="001542B8">
              <w:rPr>
                <w:rFonts w:ascii="Arial Narrow" w:hAnsi="Arial Narrow"/>
                <w:sz w:val="18"/>
                <w:szCs w:val="18"/>
              </w:rPr>
              <w:t>richterrechtlich</w:t>
            </w:r>
            <w:proofErr w:type="spellEnd"/>
            <w:r w:rsidRPr="001542B8">
              <w:rPr>
                <w:rFonts w:ascii="Arial Narrow" w:hAnsi="Arial Narrow"/>
                <w:sz w:val="18"/>
                <w:szCs w:val="18"/>
              </w:rPr>
              <w:t xml:space="preserve"> entwickelte Prospekthaftpflicht im weiteren Sinne. Die eine betrifft im </w:t>
            </w:r>
            <w:proofErr w:type="spellStart"/>
            <w:r w:rsidRPr="001542B8">
              <w:rPr>
                <w:rFonts w:ascii="Arial Narrow" w:hAnsi="Arial Narrow"/>
                <w:sz w:val="18"/>
                <w:szCs w:val="18"/>
              </w:rPr>
              <w:t>we¬sentlichen</w:t>
            </w:r>
            <w:proofErr w:type="spellEnd"/>
            <w:r w:rsidRPr="001542B8">
              <w:rPr>
                <w:rFonts w:ascii="Arial Narrow" w:hAnsi="Arial Narrow"/>
                <w:sz w:val="18"/>
                <w:szCs w:val="18"/>
              </w:rPr>
              <w:t xml:space="preserve"> die Prospektherausgeberin und diejenigen </w:t>
            </w:r>
            <w:proofErr w:type="spellStart"/>
            <w:r w:rsidRPr="001542B8">
              <w:rPr>
                <w:rFonts w:ascii="Arial Narrow" w:hAnsi="Arial Narrow"/>
                <w:sz w:val="18"/>
                <w:szCs w:val="18"/>
              </w:rPr>
              <w:t>Perso¬nen</w:t>
            </w:r>
            <w:proofErr w:type="spellEnd"/>
            <w:r w:rsidRPr="001542B8">
              <w:rPr>
                <w:rFonts w:ascii="Arial Narrow" w:hAnsi="Arial Narrow"/>
                <w:sz w:val="18"/>
                <w:szCs w:val="18"/>
              </w:rPr>
              <w:t xml:space="preserve">, die für die Prospektgestaltung Mitverantwortung tragen, die andere diejenigen Personen, welche als Berater oder Vermittler sich bei der Anlageberatung des Prospekts </w:t>
            </w:r>
            <w:proofErr w:type="spellStart"/>
            <w:r w:rsidRPr="001542B8">
              <w:rPr>
                <w:rFonts w:ascii="Arial Narrow" w:hAnsi="Arial Narrow"/>
                <w:sz w:val="18"/>
                <w:szCs w:val="18"/>
              </w:rPr>
              <w:t>bedie¬nen</w:t>
            </w:r>
            <w:proofErr w:type="spellEnd"/>
            <w:r w:rsidRPr="001542B8">
              <w:rPr>
                <w:rFonts w:ascii="Arial Narrow" w:hAnsi="Arial Narrow"/>
                <w:sz w:val="18"/>
                <w:szCs w:val="18"/>
              </w:rPr>
              <w:t xml:space="preserve"> und sich damit dessen Angaben zu </w:t>
            </w:r>
            <w:proofErr w:type="gramStart"/>
            <w:r w:rsidRPr="001542B8">
              <w:rPr>
                <w:rFonts w:ascii="Arial Narrow" w:hAnsi="Arial Narrow"/>
                <w:sz w:val="18"/>
                <w:szCs w:val="18"/>
              </w:rPr>
              <w:t>eigen</w:t>
            </w:r>
            <w:proofErr w:type="gramEnd"/>
            <w:r w:rsidRPr="001542B8">
              <w:rPr>
                <w:rFonts w:ascii="Arial Narrow" w:hAnsi="Arial Narrow"/>
                <w:sz w:val="18"/>
                <w:szCs w:val="18"/>
              </w:rPr>
              <w:t xml:space="preserve"> machen. </w:t>
            </w:r>
          </w:p>
        </w:tc>
      </w:tr>
      <w:tr w:rsidR="007F1765" w:rsidRPr="00003D4B" w:rsidTr="001542B8">
        <w:trPr>
          <w:trHeight w:val="278"/>
        </w:trPr>
        <w:tc>
          <w:tcPr>
            <w:tcW w:w="5000" w:type="pct"/>
            <w:shd w:val="clear" w:color="auto" w:fill="DBE5F1" w:themeFill="accent1" w:themeFillTint="33"/>
            <w:vAlign w:val="center"/>
          </w:tcPr>
          <w:p w:rsidR="007F1765" w:rsidRPr="001542B8" w:rsidRDefault="001542B8" w:rsidP="007F1765">
            <w:pPr>
              <w:autoSpaceDE w:val="0"/>
              <w:autoSpaceDN w:val="0"/>
              <w:adjustRightInd w:val="0"/>
              <w:rPr>
                <w:rFonts w:ascii="Arial Narrow" w:hAnsi="Arial Narrow"/>
                <w:smallCaps/>
                <w:color w:val="000000"/>
                <w:sz w:val="18"/>
                <w:szCs w:val="18"/>
                <w:lang w:bidi="bn-IN"/>
              </w:rPr>
            </w:pPr>
            <w:r w:rsidRPr="001542B8">
              <w:rPr>
                <w:rFonts w:ascii="Arial Narrow" w:hAnsi="Arial Narrow"/>
                <w:smallCaps/>
                <w:sz w:val="18"/>
                <w:szCs w:val="18"/>
              </w:rPr>
              <w:t>ANFORDERUNGEN AN DEN PROSPEKT:</w:t>
            </w:r>
          </w:p>
        </w:tc>
      </w:tr>
      <w:tr w:rsidR="007F1765" w:rsidRPr="00003D4B" w:rsidTr="007F1765">
        <w:trPr>
          <w:trHeight w:val="195"/>
        </w:trPr>
        <w:tc>
          <w:tcPr>
            <w:tcW w:w="5000" w:type="pct"/>
            <w:shd w:val="clear" w:color="auto" w:fill="FFFFFF" w:themeFill="background1"/>
            <w:vAlign w:val="center"/>
          </w:tcPr>
          <w:p w:rsidR="007F1765" w:rsidRPr="001542B8" w:rsidRDefault="001542B8" w:rsidP="001542B8">
            <w:pPr>
              <w:shd w:val="clear" w:color="auto" w:fill="FFFFFF" w:themeFill="background1"/>
              <w:autoSpaceDE w:val="0"/>
              <w:autoSpaceDN w:val="0"/>
              <w:adjustRightInd w:val="0"/>
              <w:spacing w:before="120"/>
              <w:rPr>
                <w:rFonts w:ascii="Arial Narrow" w:hAnsi="Arial Narrow"/>
                <w:sz w:val="18"/>
                <w:szCs w:val="18"/>
              </w:rPr>
            </w:pPr>
            <w:r w:rsidRPr="001542B8">
              <w:rPr>
                <w:rFonts w:ascii="Arial Narrow" w:hAnsi="Arial Narrow"/>
                <w:sz w:val="18"/>
                <w:szCs w:val="18"/>
              </w:rPr>
              <w:t xml:space="preserve">Der Prospekt sollte im Wesentlichen die drei Forderungen nach Richtigkeit, Vollständigkeit und Klarheit. erfüllen. Ob ein Prospekt inhaltlich vollständig und richtig ist, hängt vom Einzelfall ab. Für Erfolgsberechnungen und </w:t>
            </w:r>
            <w:proofErr w:type="spellStart"/>
            <w:r w:rsidRPr="001542B8">
              <w:rPr>
                <w:rFonts w:ascii="Arial Narrow" w:hAnsi="Arial Narrow"/>
                <w:sz w:val="18"/>
                <w:szCs w:val="18"/>
              </w:rPr>
              <w:t>Zukunftsprog¬nosen</w:t>
            </w:r>
            <w:proofErr w:type="spellEnd"/>
            <w:r w:rsidRPr="001542B8">
              <w:rPr>
                <w:rFonts w:ascii="Arial Narrow" w:hAnsi="Arial Narrow"/>
                <w:sz w:val="18"/>
                <w:szCs w:val="18"/>
              </w:rPr>
              <w:t xml:space="preserve"> etwa wird eine Haftung begründet, wenn die Prognose schuldhaft auf falschen Tatsachen, auf Verstößen gegen allgemeine Erfahrungssätze oder auf einer Außerachtlassung der bei der Prognose gebotenen Zurückhaltung beruht oder Angaben „ins Blaue hinein“ gemacht werden (BGH, WM 87, 1557). Druckstücke sind bei Bedarf auch nachträglich zu korrigieren</w:t>
            </w:r>
            <w:proofErr w:type="gramStart"/>
            <w:r w:rsidRPr="001542B8">
              <w:rPr>
                <w:rFonts w:ascii="Arial Narrow" w:hAnsi="Arial Narrow"/>
                <w:sz w:val="18"/>
                <w:szCs w:val="18"/>
              </w:rPr>
              <w:t>.(</w:t>
            </w:r>
            <w:proofErr w:type="gramEnd"/>
            <w:r w:rsidRPr="001542B8">
              <w:rPr>
                <w:rFonts w:ascii="Arial Narrow" w:hAnsi="Arial Narrow"/>
                <w:sz w:val="18"/>
                <w:szCs w:val="18"/>
              </w:rPr>
              <w:t xml:space="preserve">BGH IIZR 244/01) Eine Irreführung ist zu </w:t>
            </w:r>
            <w:proofErr w:type="spellStart"/>
            <w:r w:rsidRPr="001542B8">
              <w:rPr>
                <w:rFonts w:ascii="Arial Narrow" w:hAnsi="Arial Narrow"/>
                <w:sz w:val="18"/>
                <w:szCs w:val="18"/>
              </w:rPr>
              <w:t>ver¬meiden</w:t>
            </w:r>
            <w:proofErr w:type="spellEnd"/>
            <w:r w:rsidRPr="001542B8">
              <w:rPr>
                <w:rFonts w:ascii="Arial Narrow" w:hAnsi="Arial Narrow"/>
                <w:sz w:val="18"/>
                <w:szCs w:val="18"/>
              </w:rPr>
              <w:t xml:space="preserve"> und führt gegebenenfalls Pflicht zur Richtigstellung (BGH, WM 88, 48). Die Schutz- und Aufklärungsbedürftigkeit des Anlegers ist jeweils entscheidend. (BGH, WM 79, 141).  Zur näheren Erläuterung ist die Richtlinie des Institutes für Wirtschaftsprüfer zur Prospektprüfung sicher hilfreich. </w:t>
            </w:r>
          </w:p>
        </w:tc>
      </w:tr>
      <w:tr w:rsidR="007F1765" w:rsidRPr="00003D4B" w:rsidTr="001542B8">
        <w:trPr>
          <w:trHeight w:val="178"/>
        </w:trPr>
        <w:tc>
          <w:tcPr>
            <w:tcW w:w="5000" w:type="pct"/>
            <w:shd w:val="clear" w:color="auto" w:fill="DBE5F1" w:themeFill="accent1" w:themeFillTint="33"/>
            <w:vAlign w:val="center"/>
          </w:tcPr>
          <w:p w:rsidR="007F1765" w:rsidRPr="001542B8" w:rsidRDefault="001542B8" w:rsidP="007F1765">
            <w:pPr>
              <w:autoSpaceDE w:val="0"/>
              <w:autoSpaceDN w:val="0"/>
              <w:adjustRightInd w:val="0"/>
              <w:rPr>
                <w:rFonts w:ascii="Arial Narrow" w:hAnsi="Arial Narrow"/>
                <w:smallCaps/>
                <w:color w:val="000000"/>
                <w:sz w:val="18"/>
                <w:szCs w:val="18"/>
                <w:lang w:bidi="bn-IN"/>
              </w:rPr>
            </w:pPr>
            <w:r w:rsidRPr="001542B8">
              <w:rPr>
                <w:rFonts w:ascii="Arial Narrow" w:hAnsi="Arial Narrow"/>
                <w:smallCaps/>
                <w:color w:val="000000"/>
                <w:sz w:val="18"/>
                <w:szCs w:val="18"/>
                <w:lang w:bidi="bn-IN"/>
              </w:rPr>
              <w:t>PROSPEKTVERANTWORTLICHE:</w:t>
            </w:r>
          </w:p>
        </w:tc>
      </w:tr>
      <w:tr w:rsidR="007F1765" w:rsidRPr="007F1765" w:rsidTr="007F1765">
        <w:trPr>
          <w:trHeight w:val="195"/>
        </w:trPr>
        <w:tc>
          <w:tcPr>
            <w:tcW w:w="5000" w:type="pct"/>
            <w:shd w:val="clear" w:color="auto" w:fill="FFFFFF" w:themeFill="background1"/>
            <w:vAlign w:val="center"/>
          </w:tcPr>
          <w:p w:rsidR="001542B8" w:rsidRPr="001542B8" w:rsidRDefault="001542B8" w:rsidP="001542B8">
            <w:pPr>
              <w:shd w:val="clear" w:color="auto" w:fill="FFFFFF" w:themeFill="background1"/>
              <w:autoSpaceDE w:val="0"/>
              <w:autoSpaceDN w:val="0"/>
              <w:adjustRightInd w:val="0"/>
              <w:spacing w:before="120"/>
              <w:rPr>
                <w:rFonts w:ascii="Arial Narrow" w:hAnsi="Arial Narrow"/>
                <w:sz w:val="18"/>
                <w:szCs w:val="18"/>
              </w:rPr>
            </w:pPr>
            <w:r w:rsidRPr="001542B8">
              <w:rPr>
                <w:rFonts w:ascii="Arial Narrow" w:hAnsi="Arial Narrow"/>
                <w:sz w:val="18"/>
                <w:szCs w:val="18"/>
              </w:rPr>
              <w:t xml:space="preserve">Adressat der auf dem Vertrauensgrundsatz basierenden </w:t>
            </w:r>
            <w:proofErr w:type="spellStart"/>
            <w:r w:rsidRPr="001542B8">
              <w:rPr>
                <w:rFonts w:ascii="Arial Narrow" w:hAnsi="Arial Narrow"/>
                <w:sz w:val="18"/>
                <w:szCs w:val="18"/>
              </w:rPr>
              <w:t>Pro¬spekthaftung</w:t>
            </w:r>
            <w:proofErr w:type="spellEnd"/>
            <w:r w:rsidRPr="001542B8">
              <w:rPr>
                <w:rFonts w:ascii="Arial Narrow" w:hAnsi="Arial Narrow"/>
                <w:sz w:val="18"/>
                <w:szCs w:val="18"/>
              </w:rPr>
              <w:t xml:space="preserve"> sind die namentlich genannten Verantwortlichen und nach Richterrecht vor allem Personengruppen, denen </w:t>
            </w:r>
            <w:proofErr w:type="spellStart"/>
            <w:r w:rsidRPr="001542B8">
              <w:rPr>
                <w:rFonts w:ascii="Arial Narrow" w:hAnsi="Arial Narrow"/>
                <w:sz w:val="18"/>
                <w:szCs w:val="18"/>
              </w:rPr>
              <w:t>typi¬scherweise</w:t>
            </w:r>
            <w:proofErr w:type="spellEnd"/>
            <w:r w:rsidRPr="001542B8">
              <w:rPr>
                <w:rFonts w:ascii="Arial Narrow" w:hAnsi="Arial Narrow"/>
                <w:sz w:val="18"/>
                <w:szCs w:val="18"/>
              </w:rPr>
              <w:t xml:space="preserve"> aufgrund der Prospektangaben Vertrauen </w:t>
            </w:r>
            <w:proofErr w:type="spellStart"/>
            <w:r w:rsidRPr="001542B8">
              <w:rPr>
                <w:rFonts w:ascii="Arial Narrow" w:hAnsi="Arial Narrow"/>
                <w:sz w:val="18"/>
                <w:szCs w:val="18"/>
              </w:rPr>
              <w:t>entge¬gengebracht</w:t>
            </w:r>
            <w:proofErr w:type="spellEnd"/>
            <w:r w:rsidRPr="001542B8">
              <w:rPr>
                <w:rFonts w:ascii="Arial Narrow" w:hAnsi="Arial Narrow"/>
                <w:sz w:val="18"/>
                <w:szCs w:val="18"/>
              </w:rPr>
              <w:t xml:space="preserve"> wird und die damit für die Herausgabe des Prospekts verantwortlich sind:</w:t>
            </w:r>
          </w:p>
          <w:p w:rsidR="001542B8" w:rsidRPr="001542B8" w:rsidRDefault="001542B8" w:rsidP="001542B8">
            <w:pPr>
              <w:pStyle w:val="Listenabsatz"/>
              <w:numPr>
                <w:ilvl w:val="0"/>
                <w:numId w:val="14"/>
              </w:numPr>
              <w:shd w:val="clear" w:color="auto" w:fill="FFFFFF" w:themeFill="background1"/>
              <w:tabs>
                <w:tab w:val="left" w:pos="318"/>
              </w:tabs>
              <w:autoSpaceDE w:val="0"/>
              <w:autoSpaceDN w:val="0"/>
              <w:adjustRightInd w:val="0"/>
              <w:spacing w:before="120"/>
              <w:ind w:left="318" w:hanging="284"/>
              <w:rPr>
                <w:rFonts w:ascii="Arial Narrow" w:hAnsi="Arial Narrow"/>
                <w:sz w:val="18"/>
                <w:szCs w:val="18"/>
              </w:rPr>
            </w:pPr>
            <w:r w:rsidRPr="001542B8">
              <w:rPr>
                <w:rFonts w:ascii="Arial Narrow" w:hAnsi="Arial Narrow"/>
                <w:sz w:val="18"/>
                <w:szCs w:val="18"/>
              </w:rPr>
              <w:t>Gründer und Initiatoren, da sie dem künftigen Anleger als die Verantwortlichen erscheinen, von denen er aufgrund ihrer Stellung und Eigenschaft persönliche Zuverlässigkeit erwartet (BGH, WM 91, 637);</w:t>
            </w:r>
          </w:p>
          <w:p w:rsidR="001542B8" w:rsidRPr="001542B8" w:rsidRDefault="001542B8" w:rsidP="001542B8">
            <w:pPr>
              <w:pStyle w:val="Listenabsatz"/>
              <w:numPr>
                <w:ilvl w:val="0"/>
                <w:numId w:val="14"/>
              </w:numPr>
              <w:shd w:val="clear" w:color="auto" w:fill="FFFFFF" w:themeFill="background1"/>
              <w:tabs>
                <w:tab w:val="left" w:pos="318"/>
              </w:tabs>
              <w:autoSpaceDE w:val="0"/>
              <w:autoSpaceDN w:val="0"/>
              <w:adjustRightInd w:val="0"/>
              <w:spacing w:before="120"/>
              <w:ind w:left="318" w:hanging="284"/>
              <w:rPr>
                <w:rFonts w:ascii="Arial Narrow" w:hAnsi="Arial Narrow"/>
                <w:sz w:val="18"/>
                <w:szCs w:val="18"/>
              </w:rPr>
            </w:pPr>
            <w:r w:rsidRPr="001542B8">
              <w:rPr>
                <w:rFonts w:ascii="Arial Narrow" w:hAnsi="Arial Narrow"/>
                <w:sz w:val="18"/>
                <w:szCs w:val="18"/>
              </w:rPr>
              <w:t>Anlagevermittler und Anlageberater(BGH,WM 84,1075);</w:t>
            </w:r>
          </w:p>
          <w:p w:rsidR="001542B8" w:rsidRPr="001542B8" w:rsidRDefault="001542B8" w:rsidP="001542B8">
            <w:pPr>
              <w:pStyle w:val="Listenabsatz"/>
              <w:numPr>
                <w:ilvl w:val="0"/>
                <w:numId w:val="14"/>
              </w:numPr>
              <w:shd w:val="clear" w:color="auto" w:fill="FFFFFF" w:themeFill="background1"/>
              <w:tabs>
                <w:tab w:val="left" w:pos="318"/>
              </w:tabs>
              <w:autoSpaceDE w:val="0"/>
              <w:autoSpaceDN w:val="0"/>
              <w:adjustRightInd w:val="0"/>
              <w:spacing w:before="120"/>
              <w:ind w:left="318" w:hanging="284"/>
              <w:rPr>
                <w:rFonts w:ascii="Arial Narrow" w:hAnsi="Arial Narrow"/>
                <w:sz w:val="18"/>
                <w:szCs w:val="18"/>
              </w:rPr>
            </w:pPr>
            <w:r w:rsidRPr="001542B8">
              <w:rPr>
                <w:rFonts w:ascii="Arial Narrow" w:hAnsi="Arial Narrow"/>
                <w:sz w:val="18"/>
                <w:szCs w:val="18"/>
              </w:rPr>
              <w:t xml:space="preserve">Treuhänder, wenn sie bei der Prospektherausgabe </w:t>
            </w:r>
            <w:proofErr w:type="spellStart"/>
            <w:r w:rsidRPr="001542B8">
              <w:rPr>
                <w:rFonts w:ascii="Arial Narrow" w:hAnsi="Arial Narrow"/>
                <w:sz w:val="18"/>
                <w:szCs w:val="18"/>
              </w:rPr>
              <w:t>mitge¬wirkt</w:t>
            </w:r>
            <w:proofErr w:type="spellEnd"/>
            <w:r w:rsidRPr="001542B8">
              <w:rPr>
                <w:rFonts w:ascii="Arial Narrow" w:hAnsi="Arial Narrow"/>
                <w:sz w:val="18"/>
                <w:szCs w:val="18"/>
              </w:rPr>
              <w:t xml:space="preserve"> haben, es bewertet haben oder durch Hergabe des Namens dem Angebot Seriosität vermittelt haben und dadurch einen beim Anleger entstandenen </w:t>
            </w:r>
            <w:proofErr w:type="spellStart"/>
            <w:r w:rsidRPr="001542B8">
              <w:rPr>
                <w:rFonts w:ascii="Arial Narrow" w:hAnsi="Arial Narrow"/>
                <w:sz w:val="18"/>
                <w:szCs w:val="18"/>
              </w:rPr>
              <w:t>Vertrauens¬tatbestand</w:t>
            </w:r>
            <w:proofErr w:type="spellEnd"/>
            <w:r w:rsidRPr="001542B8">
              <w:rPr>
                <w:rFonts w:ascii="Arial Narrow" w:hAnsi="Arial Narrow"/>
                <w:sz w:val="18"/>
                <w:szCs w:val="18"/>
              </w:rPr>
              <w:t xml:space="preserve"> geschaffen haben (BGH, WM 87, 425);</w:t>
            </w:r>
          </w:p>
          <w:p w:rsidR="001542B8" w:rsidRPr="001542B8" w:rsidRDefault="001542B8" w:rsidP="001542B8">
            <w:pPr>
              <w:pStyle w:val="Listenabsatz"/>
              <w:numPr>
                <w:ilvl w:val="0"/>
                <w:numId w:val="14"/>
              </w:numPr>
              <w:shd w:val="clear" w:color="auto" w:fill="FFFFFF" w:themeFill="background1"/>
              <w:tabs>
                <w:tab w:val="left" w:pos="318"/>
              </w:tabs>
              <w:autoSpaceDE w:val="0"/>
              <w:autoSpaceDN w:val="0"/>
              <w:adjustRightInd w:val="0"/>
              <w:spacing w:before="120"/>
              <w:ind w:left="318" w:hanging="284"/>
              <w:rPr>
                <w:rFonts w:ascii="Arial Narrow" w:hAnsi="Arial Narrow"/>
                <w:sz w:val="18"/>
                <w:szCs w:val="18"/>
              </w:rPr>
            </w:pPr>
            <w:r w:rsidRPr="001542B8">
              <w:rPr>
                <w:rFonts w:ascii="Arial Narrow" w:hAnsi="Arial Narrow"/>
                <w:sz w:val="18"/>
                <w:szCs w:val="18"/>
              </w:rPr>
              <w:t xml:space="preserve">Berater und Gewährspersonen, insbesondere </w:t>
            </w:r>
            <w:proofErr w:type="spellStart"/>
            <w:r w:rsidRPr="001542B8">
              <w:rPr>
                <w:rFonts w:ascii="Arial Narrow" w:hAnsi="Arial Narrow"/>
                <w:sz w:val="18"/>
                <w:szCs w:val="18"/>
              </w:rPr>
              <w:t>Rechtsan¬wälte</w:t>
            </w:r>
            <w:proofErr w:type="spellEnd"/>
            <w:r w:rsidRPr="001542B8">
              <w:rPr>
                <w:rFonts w:ascii="Arial Narrow" w:hAnsi="Arial Narrow"/>
                <w:sz w:val="18"/>
                <w:szCs w:val="18"/>
              </w:rPr>
              <w:t xml:space="preserve">, Wirtschaftsprüfer, Steuerberater. Auch wenn die Vertrauensperson (Wirtschaftsprüfer) im Prospekt anonym nur durch Hinweise auf ihr Gutachten im Prospekt faktisch hervorgetreten ist und eine Identifizierung nur über die Anforderung des Prospektprüfungsberichts mit Testat </w:t>
            </w:r>
            <w:proofErr w:type="spellStart"/>
            <w:r w:rsidRPr="001542B8">
              <w:rPr>
                <w:rFonts w:ascii="Arial Narrow" w:hAnsi="Arial Narrow"/>
                <w:sz w:val="18"/>
                <w:szCs w:val="18"/>
              </w:rPr>
              <w:t>mög¬lich</w:t>
            </w:r>
            <w:proofErr w:type="spellEnd"/>
            <w:r w:rsidRPr="001542B8">
              <w:rPr>
                <w:rFonts w:ascii="Arial Narrow" w:hAnsi="Arial Narrow"/>
                <w:sz w:val="18"/>
                <w:szCs w:val="18"/>
              </w:rPr>
              <w:t xml:space="preserve"> wäre, dann muss der Wirtschaftsprüfer als Verfasser des Prüfberichts für Richtigkeit und Vollständigkeit des Prospekts einstehen (BGH, WM 86, 904);</w:t>
            </w:r>
          </w:p>
          <w:p w:rsidR="001542B8" w:rsidRPr="001542B8" w:rsidRDefault="001542B8" w:rsidP="001542B8">
            <w:pPr>
              <w:pStyle w:val="Listenabsatz"/>
              <w:numPr>
                <w:ilvl w:val="0"/>
                <w:numId w:val="14"/>
              </w:numPr>
              <w:shd w:val="clear" w:color="auto" w:fill="FFFFFF" w:themeFill="background1"/>
              <w:tabs>
                <w:tab w:val="left" w:pos="318"/>
              </w:tabs>
              <w:autoSpaceDE w:val="0"/>
              <w:autoSpaceDN w:val="0"/>
              <w:adjustRightInd w:val="0"/>
              <w:spacing w:before="120"/>
              <w:ind w:left="318" w:hanging="284"/>
              <w:rPr>
                <w:rFonts w:ascii="Arial Narrow" w:hAnsi="Arial Narrow"/>
                <w:sz w:val="18"/>
                <w:szCs w:val="18"/>
              </w:rPr>
            </w:pPr>
            <w:r w:rsidRPr="001542B8">
              <w:rPr>
                <w:rFonts w:ascii="Arial Narrow" w:hAnsi="Arial Narrow"/>
                <w:sz w:val="18"/>
                <w:szCs w:val="18"/>
              </w:rPr>
              <w:t xml:space="preserve">Organpersonen (Vorstände, Beiräte und </w:t>
            </w:r>
            <w:proofErr w:type="spellStart"/>
            <w:r w:rsidRPr="001542B8">
              <w:rPr>
                <w:rFonts w:ascii="Arial Narrow" w:hAnsi="Arial Narrow"/>
                <w:sz w:val="18"/>
                <w:szCs w:val="18"/>
              </w:rPr>
              <w:t>Auf¬sichtsräte</w:t>
            </w:r>
            <w:proofErr w:type="spellEnd"/>
            <w:r w:rsidRPr="001542B8">
              <w:rPr>
                <w:rFonts w:ascii="Arial Narrow" w:hAnsi="Arial Narrow"/>
                <w:sz w:val="18"/>
                <w:szCs w:val="18"/>
              </w:rPr>
              <w:t>), die einen besonderen Einfluss in der Gesellschaft ausüben und Mitverantwortung tragen (BGH, WM 84, 1640);</w:t>
            </w:r>
          </w:p>
          <w:p w:rsidR="007F1765" w:rsidRPr="001542B8" w:rsidRDefault="001542B8" w:rsidP="001542B8">
            <w:pPr>
              <w:pStyle w:val="Listenabsatz"/>
              <w:numPr>
                <w:ilvl w:val="0"/>
                <w:numId w:val="14"/>
              </w:numPr>
              <w:shd w:val="clear" w:color="auto" w:fill="FFFFFF" w:themeFill="background1"/>
              <w:tabs>
                <w:tab w:val="left" w:pos="318"/>
              </w:tabs>
              <w:autoSpaceDE w:val="0"/>
              <w:autoSpaceDN w:val="0"/>
              <w:adjustRightInd w:val="0"/>
              <w:spacing w:before="120"/>
              <w:ind w:left="318" w:hanging="284"/>
              <w:rPr>
                <w:rFonts w:ascii="Arial Narrow" w:hAnsi="Arial Narrow"/>
                <w:sz w:val="18"/>
                <w:szCs w:val="18"/>
              </w:rPr>
            </w:pPr>
            <w:r w:rsidRPr="001542B8">
              <w:rPr>
                <w:rFonts w:ascii="Arial Narrow" w:hAnsi="Arial Narrow"/>
                <w:sz w:val="18"/>
                <w:szCs w:val="18"/>
              </w:rPr>
              <w:t xml:space="preserve">finanzierende Banken (BGH WM 85,533, WM86,517), etwa bei Inanspruchnahme persönlichen Vertrauens oder Verletzung typischer „Berufspflichten“. Ein </w:t>
            </w:r>
            <w:proofErr w:type="spellStart"/>
            <w:r w:rsidRPr="001542B8">
              <w:rPr>
                <w:rFonts w:ascii="Arial Narrow" w:hAnsi="Arial Narrow"/>
                <w:sz w:val="18"/>
                <w:szCs w:val="18"/>
              </w:rPr>
              <w:t>zusätz¬licher</w:t>
            </w:r>
            <w:proofErr w:type="spellEnd"/>
            <w:r w:rsidRPr="001542B8">
              <w:rPr>
                <w:rFonts w:ascii="Arial Narrow" w:hAnsi="Arial Narrow"/>
                <w:sz w:val="18"/>
                <w:szCs w:val="18"/>
              </w:rPr>
              <w:t xml:space="preserve"> Vertrauenstatbestand kann bereits dadurch </w:t>
            </w:r>
            <w:proofErr w:type="spellStart"/>
            <w:r w:rsidRPr="001542B8">
              <w:rPr>
                <w:rFonts w:ascii="Arial Narrow" w:hAnsi="Arial Narrow"/>
                <w:sz w:val="18"/>
                <w:szCs w:val="18"/>
              </w:rPr>
              <w:t>ent¬stehen</w:t>
            </w:r>
            <w:proofErr w:type="spellEnd"/>
            <w:r w:rsidRPr="001542B8">
              <w:rPr>
                <w:rFonts w:ascii="Arial Narrow" w:hAnsi="Arial Narrow"/>
                <w:sz w:val="18"/>
                <w:szCs w:val="18"/>
              </w:rPr>
              <w:t xml:space="preserve">, </w:t>
            </w:r>
            <w:proofErr w:type="gramStart"/>
            <w:r w:rsidRPr="001542B8">
              <w:rPr>
                <w:rFonts w:ascii="Arial Narrow" w:hAnsi="Arial Narrow"/>
                <w:sz w:val="18"/>
                <w:szCs w:val="18"/>
              </w:rPr>
              <w:t>dass</w:t>
            </w:r>
            <w:proofErr w:type="gramEnd"/>
            <w:r w:rsidRPr="001542B8">
              <w:rPr>
                <w:rFonts w:ascii="Arial Narrow" w:hAnsi="Arial Narrow"/>
                <w:sz w:val="18"/>
                <w:szCs w:val="18"/>
              </w:rPr>
              <w:t xml:space="preserve"> sie die Kapitalanlage in ihr </w:t>
            </w:r>
            <w:proofErr w:type="spellStart"/>
            <w:r w:rsidRPr="001542B8">
              <w:rPr>
                <w:rFonts w:ascii="Arial Narrow" w:hAnsi="Arial Narrow"/>
                <w:sz w:val="18"/>
                <w:szCs w:val="18"/>
              </w:rPr>
              <w:t>Beratungspro¬gramm</w:t>
            </w:r>
            <w:proofErr w:type="spellEnd"/>
            <w:r w:rsidRPr="001542B8">
              <w:rPr>
                <w:rFonts w:ascii="Arial Narrow" w:hAnsi="Arial Narrow"/>
                <w:sz w:val="18"/>
                <w:szCs w:val="18"/>
              </w:rPr>
              <w:t xml:space="preserve"> aufgenommen und vermittelt hat und damit der Kapitalanlage Seriosität verlieh. (BGH, WM 87, 495).</w:t>
            </w:r>
          </w:p>
        </w:tc>
      </w:tr>
      <w:tr w:rsidR="00003D4B" w:rsidRPr="00D67F2E" w:rsidTr="00003D4B">
        <w:trPr>
          <w:trHeight w:val="195"/>
        </w:trPr>
        <w:tc>
          <w:tcPr>
            <w:tcW w:w="5000" w:type="pct"/>
            <w:shd w:val="clear" w:color="auto" w:fill="DBE5F1" w:themeFill="accent1" w:themeFillTint="33"/>
            <w:vAlign w:val="center"/>
          </w:tcPr>
          <w:p w:rsidR="00003D4B" w:rsidRPr="001542B8" w:rsidRDefault="001542B8" w:rsidP="00003D4B">
            <w:pPr>
              <w:rPr>
                <w:rFonts w:ascii="Arial Narrow" w:hAnsi="Arial Narrow"/>
                <w:smallCaps/>
                <w:sz w:val="18"/>
                <w:szCs w:val="18"/>
              </w:rPr>
            </w:pPr>
            <w:r w:rsidRPr="001542B8">
              <w:rPr>
                <w:rFonts w:ascii="Arial Narrow" w:hAnsi="Arial Narrow"/>
                <w:sz w:val="18"/>
                <w:szCs w:val="18"/>
              </w:rPr>
              <w:t>ANSPRUCHSERHEBUNG</w:t>
            </w:r>
          </w:p>
        </w:tc>
      </w:tr>
      <w:tr w:rsidR="00003D4B" w:rsidRPr="00003D4B" w:rsidTr="00003D4B">
        <w:trPr>
          <w:trHeight w:val="195"/>
        </w:trPr>
        <w:tc>
          <w:tcPr>
            <w:tcW w:w="5000" w:type="pct"/>
            <w:shd w:val="clear" w:color="auto" w:fill="FFFFFF" w:themeFill="background1"/>
            <w:vAlign w:val="center"/>
          </w:tcPr>
          <w:p w:rsidR="00003D4B" w:rsidRPr="001542B8" w:rsidRDefault="001542B8" w:rsidP="001542B8">
            <w:pPr>
              <w:shd w:val="clear" w:color="auto" w:fill="FFFFFF" w:themeFill="background1"/>
              <w:autoSpaceDE w:val="0"/>
              <w:autoSpaceDN w:val="0"/>
              <w:adjustRightInd w:val="0"/>
              <w:spacing w:before="120"/>
              <w:rPr>
                <w:rFonts w:ascii="Arial Narrow" w:hAnsi="Arial Narrow"/>
                <w:sz w:val="18"/>
                <w:szCs w:val="18"/>
              </w:rPr>
            </w:pPr>
            <w:r w:rsidRPr="001542B8">
              <w:rPr>
                <w:rFonts w:ascii="Arial Narrow" w:hAnsi="Arial Narrow"/>
                <w:sz w:val="18"/>
                <w:szCs w:val="18"/>
              </w:rPr>
              <w:t xml:space="preserve">Der Anleger muss sich entscheiden, ob er bei unrichtigen oder unvollständigen Prospektangaben oder Auskünften, Rückabwicklung des Vertrages verlangen oder das </w:t>
            </w:r>
            <w:proofErr w:type="spellStart"/>
            <w:r w:rsidRPr="001542B8">
              <w:rPr>
                <w:rFonts w:ascii="Arial Narrow" w:hAnsi="Arial Narrow"/>
                <w:sz w:val="18"/>
                <w:szCs w:val="18"/>
              </w:rPr>
              <w:t>An¬lageobjekt</w:t>
            </w:r>
            <w:proofErr w:type="spellEnd"/>
            <w:r w:rsidRPr="001542B8">
              <w:rPr>
                <w:rFonts w:ascii="Arial Narrow" w:hAnsi="Arial Narrow"/>
                <w:sz w:val="18"/>
                <w:szCs w:val="18"/>
              </w:rPr>
              <w:t xml:space="preserve"> behalten und Preisminderung erhalten will (§  127 </w:t>
            </w:r>
            <w:proofErr w:type="spellStart"/>
            <w:r w:rsidRPr="001542B8">
              <w:rPr>
                <w:rFonts w:ascii="Arial Narrow" w:hAnsi="Arial Narrow"/>
                <w:sz w:val="18"/>
                <w:szCs w:val="18"/>
              </w:rPr>
              <w:t>InvG</w:t>
            </w:r>
            <w:proofErr w:type="spellEnd"/>
            <w:r w:rsidRPr="001542B8">
              <w:rPr>
                <w:rFonts w:ascii="Arial Narrow" w:hAnsi="Arial Narrow"/>
                <w:sz w:val="18"/>
                <w:szCs w:val="18"/>
              </w:rPr>
              <w:t xml:space="preserve">, 13 </w:t>
            </w:r>
            <w:proofErr w:type="spellStart"/>
            <w:r w:rsidRPr="001542B8">
              <w:rPr>
                <w:rFonts w:ascii="Arial Narrow" w:hAnsi="Arial Narrow"/>
                <w:sz w:val="18"/>
                <w:szCs w:val="18"/>
              </w:rPr>
              <w:t>VerkProspG</w:t>
            </w:r>
            <w:proofErr w:type="spellEnd"/>
            <w:r w:rsidRPr="001542B8">
              <w:rPr>
                <w:rFonts w:ascii="Arial Narrow" w:hAnsi="Arial Narrow"/>
                <w:sz w:val="18"/>
                <w:szCs w:val="18"/>
              </w:rPr>
              <w:t xml:space="preserve">, §§ 44 ff BörsG BGH, WM 91, 695). Die Verletzung der Offenbarungspflicht muss für die fehlerhafte Investitionsentscheidung und damit für den konkret geltend gemachten Schaden des Anlegers </w:t>
            </w:r>
            <w:proofErr w:type="spellStart"/>
            <w:r w:rsidRPr="001542B8">
              <w:rPr>
                <w:rFonts w:ascii="Arial Narrow" w:hAnsi="Arial Narrow"/>
                <w:sz w:val="18"/>
                <w:szCs w:val="18"/>
              </w:rPr>
              <w:t>ursäch¬lich</w:t>
            </w:r>
            <w:proofErr w:type="spellEnd"/>
            <w:r w:rsidRPr="001542B8">
              <w:rPr>
                <w:rFonts w:ascii="Arial Narrow" w:hAnsi="Arial Narrow"/>
                <w:sz w:val="18"/>
                <w:szCs w:val="18"/>
              </w:rPr>
              <w:t xml:space="preserve"> sein, was vermutet wird (BGH, WM 90, 920 / </w:t>
            </w:r>
            <w:proofErr w:type="spellStart"/>
            <w:r w:rsidRPr="001542B8">
              <w:rPr>
                <w:rFonts w:ascii="Arial Narrow" w:hAnsi="Arial Narrow"/>
                <w:sz w:val="18"/>
                <w:szCs w:val="18"/>
              </w:rPr>
              <w:t>Az</w:t>
            </w:r>
            <w:proofErr w:type="spellEnd"/>
            <w:r w:rsidRPr="001542B8">
              <w:rPr>
                <w:rFonts w:ascii="Arial Narrow" w:hAnsi="Arial Narrow"/>
                <w:sz w:val="18"/>
                <w:szCs w:val="18"/>
              </w:rPr>
              <w:t xml:space="preserve"> II ZR 244/01). Wer eine vertragliche oder vorvertragliche </w:t>
            </w:r>
            <w:proofErr w:type="spellStart"/>
            <w:r w:rsidRPr="001542B8">
              <w:rPr>
                <w:rFonts w:ascii="Arial Narrow" w:hAnsi="Arial Narrow"/>
                <w:sz w:val="18"/>
                <w:szCs w:val="18"/>
              </w:rPr>
              <w:t>Aufklä¬rungs</w:t>
            </w:r>
            <w:proofErr w:type="spellEnd"/>
            <w:r w:rsidRPr="001542B8">
              <w:rPr>
                <w:rFonts w:ascii="Arial Narrow" w:hAnsi="Arial Narrow"/>
                <w:sz w:val="18"/>
                <w:szCs w:val="18"/>
              </w:rPr>
              <w:t xml:space="preserve">- und Beratungspflicht verletzt, den trifft die </w:t>
            </w:r>
            <w:proofErr w:type="spellStart"/>
            <w:r w:rsidRPr="001542B8">
              <w:rPr>
                <w:rFonts w:ascii="Arial Narrow" w:hAnsi="Arial Narrow"/>
                <w:sz w:val="18"/>
                <w:szCs w:val="18"/>
              </w:rPr>
              <w:t>Beweis¬last</w:t>
            </w:r>
            <w:proofErr w:type="spellEnd"/>
            <w:r w:rsidRPr="001542B8">
              <w:rPr>
                <w:rFonts w:ascii="Arial Narrow" w:hAnsi="Arial Narrow"/>
                <w:sz w:val="18"/>
                <w:szCs w:val="18"/>
              </w:rPr>
              <w:t xml:space="preserve">, dass der Schaden auch bei pflichtgemäßem Verhalten eingetreten wäre, der Geschädigte also den Rat oder Hinweis auch trotz Aufklärung nicht befolgt hätte (BGH, WM 90, 681). Für eine Haftung reicht regelmäßig schon einfache Fahrlässigkeit. Generell wird bei Kenntnis falscher Angaben und Nichtweitergabe Fahrlässigkeit </w:t>
            </w:r>
            <w:proofErr w:type="spellStart"/>
            <w:r w:rsidRPr="001542B8">
              <w:rPr>
                <w:rFonts w:ascii="Arial Narrow" w:hAnsi="Arial Narrow"/>
                <w:sz w:val="18"/>
                <w:szCs w:val="18"/>
              </w:rPr>
              <w:t>angenom¬men</w:t>
            </w:r>
            <w:proofErr w:type="spellEnd"/>
            <w:r w:rsidRPr="001542B8">
              <w:rPr>
                <w:rFonts w:ascii="Arial Narrow" w:hAnsi="Arial Narrow"/>
                <w:sz w:val="18"/>
                <w:szCs w:val="18"/>
              </w:rPr>
              <w:t xml:space="preserve">. Für Anlage- und Vermögensberater, Rechtsanwälte, Steuerberater, Wirtschaftsprüfer und auch Banken gelten, wegen größerer Kenntnisse und Erfahrungen, strengere Sorgfaltsanforderungen. (BGH, WM 87, 495). Der Einwand des Mitverschuldens wird nur in Ausnahmefällen zugelassen (BGH, WM 87, 1546). Ist ein Prospekt unrichtig oder unvollständig, dann ist grundsätzlich der </w:t>
            </w:r>
            <w:proofErr w:type="spellStart"/>
            <w:r w:rsidRPr="001542B8">
              <w:rPr>
                <w:rFonts w:ascii="Arial Narrow" w:hAnsi="Arial Narrow"/>
                <w:sz w:val="18"/>
                <w:szCs w:val="18"/>
              </w:rPr>
              <w:t>Vertrauens¬schaden</w:t>
            </w:r>
            <w:proofErr w:type="spellEnd"/>
            <w:r w:rsidRPr="001542B8">
              <w:rPr>
                <w:rFonts w:ascii="Arial Narrow" w:hAnsi="Arial Narrow"/>
                <w:sz w:val="18"/>
                <w:szCs w:val="18"/>
              </w:rPr>
              <w:t xml:space="preserve"> zu ersetzen. Der Schädiger hat den Zustand herzustellen, der bestehen würde, wenn der Haftende seiner Aufklärungspflicht nachgekommen wäre, das heißt der Geschädigte kann verlangen, so gestellt zu werden, wie er ohne die schuldhafte Unrichtigkeit oder </w:t>
            </w:r>
            <w:proofErr w:type="spellStart"/>
            <w:r w:rsidRPr="001542B8">
              <w:rPr>
                <w:rFonts w:ascii="Arial Narrow" w:hAnsi="Arial Narrow"/>
                <w:sz w:val="18"/>
                <w:szCs w:val="18"/>
              </w:rPr>
              <w:t>Unvollstän¬digkeit</w:t>
            </w:r>
            <w:proofErr w:type="spellEnd"/>
            <w:r w:rsidRPr="001542B8">
              <w:rPr>
                <w:rFonts w:ascii="Arial Narrow" w:hAnsi="Arial Narrow"/>
                <w:sz w:val="18"/>
                <w:szCs w:val="18"/>
              </w:rPr>
              <w:t xml:space="preserve"> der Angaben (BGH, WM 91, 1303) stehen würde.</w:t>
            </w:r>
          </w:p>
        </w:tc>
      </w:tr>
      <w:tr w:rsidR="00003D4B" w:rsidRPr="00003D4B" w:rsidTr="00003D4B">
        <w:trPr>
          <w:trHeight w:val="195"/>
        </w:trPr>
        <w:tc>
          <w:tcPr>
            <w:tcW w:w="5000" w:type="pct"/>
            <w:shd w:val="clear" w:color="auto" w:fill="DBE5F1" w:themeFill="accent1" w:themeFillTint="33"/>
            <w:vAlign w:val="center"/>
          </w:tcPr>
          <w:p w:rsidR="00003D4B" w:rsidRPr="001542B8" w:rsidRDefault="001542B8" w:rsidP="00003D4B">
            <w:pPr>
              <w:autoSpaceDE w:val="0"/>
              <w:autoSpaceDN w:val="0"/>
              <w:adjustRightInd w:val="0"/>
              <w:rPr>
                <w:rFonts w:ascii="Arial Narrow" w:hAnsi="Arial Narrow"/>
                <w:smallCaps/>
                <w:sz w:val="18"/>
                <w:szCs w:val="18"/>
              </w:rPr>
            </w:pPr>
            <w:r w:rsidRPr="001542B8">
              <w:rPr>
                <w:rFonts w:ascii="Arial Narrow" w:hAnsi="Arial Narrow"/>
                <w:smallCaps/>
                <w:sz w:val="18"/>
                <w:szCs w:val="18"/>
              </w:rPr>
              <w:t>VERJÄHRUNG</w:t>
            </w:r>
          </w:p>
        </w:tc>
      </w:tr>
      <w:tr w:rsidR="00003D4B" w:rsidRPr="00003D4B" w:rsidTr="00003D4B">
        <w:trPr>
          <w:trHeight w:val="195"/>
        </w:trPr>
        <w:tc>
          <w:tcPr>
            <w:tcW w:w="5000" w:type="pct"/>
            <w:shd w:val="clear" w:color="auto" w:fill="FFFFFF" w:themeFill="background1"/>
            <w:vAlign w:val="center"/>
          </w:tcPr>
          <w:p w:rsidR="00003D4B" w:rsidRPr="001542B8" w:rsidRDefault="001542B8" w:rsidP="001542B8">
            <w:pPr>
              <w:shd w:val="clear" w:color="auto" w:fill="FFFFFF" w:themeFill="background1"/>
              <w:autoSpaceDE w:val="0"/>
              <w:autoSpaceDN w:val="0"/>
              <w:adjustRightInd w:val="0"/>
              <w:spacing w:before="120"/>
              <w:rPr>
                <w:rFonts w:ascii="Arial Narrow" w:hAnsi="Arial Narrow"/>
                <w:sz w:val="18"/>
                <w:szCs w:val="18"/>
              </w:rPr>
            </w:pPr>
            <w:r w:rsidRPr="001542B8">
              <w:rPr>
                <w:rFonts w:ascii="Arial Narrow" w:hAnsi="Arial Narrow"/>
                <w:sz w:val="18"/>
                <w:szCs w:val="18"/>
              </w:rPr>
              <w:t xml:space="preserve">Bei der gesetzlichen Prospekthaftung im engeren Sinne gilt im Regelfall die dreijährige Verjährung nach § 46 BörsG. Allerdings vermuten viele Rechtsexperten, dass die dreijährige Frist in der Urteilspraxis verlängert werden könnte, etwa wie bei Rechtsanwälten. Die </w:t>
            </w:r>
            <w:proofErr w:type="spellStart"/>
            <w:r w:rsidRPr="001542B8">
              <w:rPr>
                <w:rFonts w:ascii="Arial Narrow" w:hAnsi="Arial Narrow"/>
                <w:sz w:val="18"/>
                <w:szCs w:val="18"/>
              </w:rPr>
              <w:t>richterrechliche</w:t>
            </w:r>
            <w:proofErr w:type="spellEnd"/>
            <w:r w:rsidRPr="001542B8">
              <w:rPr>
                <w:rFonts w:ascii="Arial Narrow" w:hAnsi="Arial Narrow"/>
                <w:sz w:val="18"/>
                <w:szCs w:val="18"/>
              </w:rPr>
              <w:t xml:space="preserve"> Prospekthaftung verjährt hingegen später</w:t>
            </w:r>
          </w:p>
        </w:tc>
      </w:tr>
      <w:tr w:rsidR="00003D4B" w:rsidRPr="005E5F71" w:rsidTr="001542B8">
        <w:trPr>
          <w:trHeight w:val="288"/>
        </w:trPr>
        <w:tc>
          <w:tcPr>
            <w:tcW w:w="5000" w:type="pct"/>
            <w:shd w:val="clear" w:color="auto" w:fill="DBE5F1" w:themeFill="accent1" w:themeFillTint="33"/>
            <w:vAlign w:val="center"/>
          </w:tcPr>
          <w:p w:rsidR="00003D4B" w:rsidRPr="001542B8" w:rsidRDefault="00003D4B" w:rsidP="00003D4B">
            <w:pPr>
              <w:tabs>
                <w:tab w:val="left" w:pos="2355"/>
              </w:tabs>
              <w:rPr>
                <w:rFonts w:ascii="Arial Narrow" w:hAnsi="Arial Narrow"/>
                <w:bCs/>
                <w:smallCaps/>
                <w:sz w:val="18"/>
                <w:szCs w:val="18"/>
              </w:rPr>
            </w:pPr>
            <w:r w:rsidRPr="001542B8">
              <w:rPr>
                <w:rFonts w:ascii="Arial Narrow" w:hAnsi="Arial Narrow"/>
                <w:bCs/>
                <w:smallCaps/>
                <w:sz w:val="18"/>
                <w:szCs w:val="18"/>
              </w:rPr>
              <w:t>Ansprechpartner</w:t>
            </w:r>
          </w:p>
        </w:tc>
      </w:tr>
      <w:tr w:rsidR="0054442E" w:rsidRPr="001542B8" w:rsidTr="00003D4B">
        <w:trPr>
          <w:trHeight w:val="503"/>
        </w:trPr>
        <w:tc>
          <w:tcPr>
            <w:tcW w:w="5000" w:type="pct"/>
            <w:shd w:val="clear" w:color="auto" w:fill="FFFFFF" w:themeFill="background1"/>
            <w:vAlign w:val="center"/>
          </w:tcPr>
          <w:p w:rsidR="0054442E" w:rsidRPr="001542B8" w:rsidRDefault="007F1765" w:rsidP="007F1765">
            <w:pPr>
              <w:tabs>
                <w:tab w:val="left" w:pos="2355"/>
              </w:tabs>
              <w:rPr>
                <w:rFonts w:ascii="Arial Narrow" w:hAnsi="Arial Narrow"/>
                <w:bCs/>
                <w:sz w:val="18"/>
                <w:szCs w:val="18"/>
                <w:lang w:val="en-US"/>
              </w:rPr>
            </w:pPr>
            <w:r w:rsidRPr="001542B8">
              <w:rPr>
                <w:rFonts w:ascii="Arial Narrow" w:hAnsi="Arial Narrow"/>
                <w:bCs/>
                <w:sz w:val="18"/>
                <w:szCs w:val="18"/>
                <w:lang w:val="en-US"/>
              </w:rPr>
              <w:t xml:space="preserve">Ass. </w:t>
            </w:r>
            <w:proofErr w:type="spellStart"/>
            <w:r w:rsidRPr="001542B8">
              <w:rPr>
                <w:rFonts w:ascii="Arial Narrow" w:hAnsi="Arial Narrow"/>
                <w:bCs/>
                <w:sz w:val="18"/>
                <w:szCs w:val="18"/>
                <w:lang w:val="en-US"/>
              </w:rPr>
              <w:t>Jur</w:t>
            </w:r>
            <w:proofErr w:type="spellEnd"/>
            <w:r w:rsidRPr="001542B8">
              <w:rPr>
                <w:rFonts w:ascii="Arial Narrow" w:hAnsi="Arial Narrow"/>
                <w:bCs/>
                <w:sz w:val="18"/>
                <w:szCs w:val="18"/>
                <w:lang w:val="en-US"/>
              </w:rPr>
              <w:t xml:space="preserve">. Harald </w:t>
            </w:r>
            <w:r w:rsidR="00003D4B" w:rsidRPr="001542B8">
              <w:rPr>
                <w:rFonts w:ascii="Arial Narrow" w:hAnsi="Arial Narrow"/>
                <w:bCs/>
                <w:sz w:val="18"/>
                <w:szCs w:val="18"/>
                <w:lang w:val="en-US"/>
              </w:rPr>
              <w:t>Schaaff Tel. 089 95444880</w:t>
            </w:r>
          </w:p>
        </w:tc>
      </w:tr>
      <w:tr w:rsidR="0054442E" w:rsidRPr="001542B8" w:rsidTr="00003D4B">
        <w:trPr>
          <w:trHeight w:val="195"/>
        </w:trPr>
        <w:tc>
          <w:tcPr>
            <w:tcW w:w="5000" w:type="pct"/>
            <w:shd w:val="clear" w:color="auto" w:fill="DBE5F1" w:themeFill="accent1" w:themeFillTint="33"/>
            <w:vAlign w:val="center"/>
          </w:tcPr>
          <w:p w:rsidR="0054442E" w:rsidRPr="001542B8" w:rsidRDefault="0054442E" w:rsidP="0054442E">
            <w:pPr>
              <w:tabs>
                <w:tab w:val="right" w:pos="9072"/>
              </w:tabs>
              <w:rPr>
                <w:rFonts w:ascii="Arial Narrow" w:hAnsi="Arial Narrow"/>
                <w:sz w:val="18"/>
                <w:szCs w:val="18"/>
                <w:lang w:val="en-US"/>
              </w:rPr>
            </w:pPr>
          </w:p>
        </w:tc>
      </w:tr>
      <w:tr w:rsidR="0054442E" w:rsidRPr="001542B8" w:rsidTr="00003D4B">
        <w:trPr>
          <w:trHeight w:val="195"/>
        </w:trPr>
        <w:tc>
          <w:tcPr>
            <w:tcW w:w="5000" w:type="pct"/>
            <w:shd w:val="clear" w:color="auto" w:fill="8DB3E2" w:themeFill="text2" w:themeFillTint="66"/>
            <w:vAlign w:val="center"/>
          </w:tcPr>
          <w:p w:rsidR="0054442E" w:rsidRPr="001542B8" w:rsidRDefault="0054442E" w:rsidP="00F6323D">
            <w:pPr>
              <w:tabs>
                <w:tab w:val="left" w:pos="2355"/>
              </w:tabs>
              <w:rPr>
                <w:rFonts w:ascii="Arial Narrow" w:hAnsi="Arial Narrow"/>
                <w:bCs/>
                <w:sz w:val="18"/>
                <w:szCs w:val="18"/>
                <w:lang w:val="en-US"/>
              </w:rPr>
            </w:pPr>
            <w:r w:rsidRPr="001542B8">
              <w:rPr>
                <w:rFonts w:ascii="Arial Narrow" w:hAnsi="Arial Narrow"/>
                <w:sz w:val="18"/>
                <w:szCs w:val="18"/>
                <w:lang w:val="en-US"/>
              </w:rPr>
              <w:t xml:space="preserve">  </w:t>
            </w:r>
          </w:p>
        </w:tc>
      </w:tr>
    </w:tbl>
    <w:p w:rsidR="008E14FB" w:rsidRPr="0054442E" w:rsidRDefault="005E5F71" w:rsidP="003D7B36">
      <w:pPr>
        <w:tabs>
          <w:tab w:val="left" w:pos="2355"/>
        </w:tabs>
        <w:rPr>
          <w:rFonts w:ascii="Arial Narrow" w:hAnsi="Arial Narrow"/>
          <w:sz w:val="22"/>
          <w:lang w:val="en-US"/>
        </w:rPr>
      </w:pPr>
      <w:r w:rsidRPr="0054442E">
        <w:rPr>
          <w:rFonts w:ascii="Arial Narrow" w:hAnsi="Arial Narrow"/>
          <w:color w:val="000000"/>
          <w:sz w:val="22"/>
          <w:lang w:val="en-US" w:bidi="bn-IN"/>
        </w:rPr>
        <w:t xml:space="preserve"> </w:t>
      </w:r>
    </w:p>
    <w:sectPr w:rsidR="008E14FB" w:rsidRPr="0054442E" w:rsidSect="001F65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65" w:rsidRDefault="007F1765" w:rsidP="003D7B36">
      <w:r>
        <w:separator/>
      </w:r>
    </w:p>
  </w:endnote>
  <w:endnote w:type="continuationSeparator" w:id="0">
    <w:p w:rsidR="007F1765" w:rsidRDefault="007F1765" w:rsidP="003D7B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B8" w:rsidRDefault="001542B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65" w:rsidRPr="00003D4B" w:rsidRDefault="007F1765">
    <w:pPr>
      <w:pStyle w:val="Fuzeile"/>
      <w:rPr>
        <w:sz w:val="16"/>
        <w:szCs w:val="16"/>
      </w:rPr>
    </w:pPr>
    <w:r w:rsidRPr="00003D4B">
      <w:rPr>
        <w:sz w:val="16"/>
        <w:szCs w:val="16"/>
      </w:rPr>
      <w:t xml:space="preserve">Aus rechtlichen Gründen kann für </w:t>
    </w:r>
    <w:r>
      <w:rPr>
        <w:sz w:val="16"/>
        <w:szCs w:val="16"/>
      </w:rPr>
      <w:t>obenstehende Information keine H</w:t>
    </w:r>
    <w:r w:rsidRPr="00003D4B">
      <w:rPr>
        <w:sz w:val="16"/>
        <w:szCs w:val="16"/>
      </w:rPr>
      <w:t>aftung übernommen werden.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B8" w:rsidRDefault="001542B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65" w:rsidRDefault="007F1765" w:rsidP="003D7B36">
      <w:r>
        <w:separator/>
      </w:r>
    </w:p>
  </w:footnote>
  <w:footnote w:type="continuationSeparator" w:id="0">
    <w:p w:rsidR="007F1765" w:rsidRDefault="007F1765" w:rsidP="003D7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B8" w:rsidRDefault="001542B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65" w:rsidRDefault="001542B8" w:rsidP="001542B8">
    <w:pPr>
      <w:rPr>
        <w:rFonts w:ascii="Arial" w:hAnsi="Arial" w:cs="Arial"/>
        <w:b/>
        <w:bCs/>
        <w:sz w:val="16"/>
        <w:szCs w:val="16"/>
        <w:u w:val="single"/>
      </w:rPr>
    </w:pPr>
    <w:r w:rsidRPr="001542B8">
      <w:rPr>
        <w:rFonts w:ascii="Arial" w:hAnsi="Arial" w:cs="Arial"/>
        <w:bCs/>
        <w:noProof/>
        <w:sz w:val="16"/>
        <w:szCs w:val="16"/>
      </w:rPr>
      <w:drawing>
        <wp:inline distT="0" distB="0" distL="0" distR="0">
          <wp:extent cx="621102" cy="207034"/>
          <wp:effectExtent l="19050" t="0" r="7548" b="0"/>
          <wp:docPr id="1" name="Grafik 0" descr="MACNEU2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jpg"/>
                  <pic:cNvPicPr/>
                </pic:nvPicPr>
                <pic:blipFill>
                  <a:blip r:embed="rId1"/>
                  <a:stretch>
                    <a:fillRect/>
                  </a:stretch>
                </pic:blipFill>
                <pic:spPr>
                  <a:xfrm>
                    <a:off x="0" y="0"/>
                    <a:ext cx="621110" cy="207037"/>
                  </a:xfrm>
                  <a:prstGeom prst="rect">
                    <a:avLst/>
                  </a:prstGeom>
                </pic:spPr>
              </pic:pic>
            </a:graphicData>
          </a:graphic>
        </wp:inline>
      </w:drawing>
    </w:r>
  </w:p>
  <w:p w:rsidR="007F1765" w:rsidRDefault="007F1765" w:rsidP="001F6571">
    <w:pPr>
      <w:jc w:val="center"/>
      <w:rPr>
        <w:rFonts w:ascii="Arial" w:hAnsi="Arial" w:cs="Arial"/>
        <w:b/>
        <w:bCs/>
        <w:sz w:val="16"/>
        <w:szCs w:val="16"/>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B8" w:rsidRDefault="001542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4FB"/>
    <w:multiLevelType w:val="hybridMultilevel"/>
    <w:tmpl w:val="64D269F8"/>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2931FD"/>
    <w:multiLevelType w:val="hybridMultilevel"/>
    <w:tmpl w:val="D92A99F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5428F3"/>
    <w:multiLevelType w:val="hybridMultilevel"/>
    <w:tmpl w:val="5914D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D83340"/>
    <w:multiLevelType w:val="hybridMultilevel"/>
    <w:tmpl w:val="94D05B2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E0A64DB"/>
    <w:multiLevelType w:val="hybridMultilevel"/>
    <w:tmpl w:val="F86CD4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70B5BB4"/>
    <w:multiLevelType w:val="hybridMultilevel"/>
    <w:tmpl w:val="B7548A26"/>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913247C"/>
    <w:multiLevelType w:val="hybridMultilevel"/>
    <w:tmpl w:val="04882876"/>
    <w:lvl w:ilvl="0" w:tplc="0E181DDC">
      <w:numFmt w:val="bullet"/>
      <w:lvlText w:val="•"/>
      <w:lvlJc w:val="left"/>
      <w:pPr>
        <w:ind w:left="1065" w:hanging="705"/>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BB40EE6"/>
    <w:multiLevelType w:val="hybridMultilevel"/>
    <w:tmpl w:val="940292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38A20CC"/>
    <w:multiLevelType w:val="hybridMultilevel"/>
    <w:tmpl w:val="BC0005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1C4CC5"/>
    <w:multiLevelType w:val="hybridMultilevel"/>
    <w:tmpl w:val="E0243ED6"/>
    <w:lvl w:ilvl="0" w:tplc="0407000B">
      <w:start w:val="1"/>
      <w:numFmt w:val="bullet"/>
      <w:lvlText w:val=""/>
      <w:lvlJc w:val="left"/>
      <w:pPr>
        <w:ind w:left="754" w:hanging="360"/>
      </w:pPr>
      <w:rPr>
        <w:rFonts w:ascii="Wingdings" w:hAnsi="Wingdings"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0">
    <w:nsid w:val="64153490"/>
    <w:multiLevelType w:val="hybridMultilevel"/>
    <w:tmpl w:val="5EA69E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5A70AD"/>
    <w:multiLevelType w:val="hybridMultilevel"/>
    <w:tmpl w:val="2F8A520A"/>
    <w:lvl w:ilvl="0" w:tplc="0407000B">
      <w:start w:val="1"/>
      <w:numFmt w:val="bullet"/>
      <w:lvlText w:val=""/>
      <w:lvlJc w:val="left"/>
      <w:pPr>
        <w:ind w:left="720" w:hanging="360"/>
      </w:pPr>
      <w:rPr>
        <w:rFonts w:ascii="Wingdings" w:hAnsi="Wingdings" w:hint="default"/>
      </w:rPr>
    </w:lvl>
    <w:lvl w:ilvl="1" w:tplc="D59EB2C2">
      <w:numFmt w:val="bullet"/>
      <w:lvlText w:val="•"/>
      <w:lvlJc w:val="left"/>
      <w:pPr>
        <w:ind w:left="1785" w:hanging="705"/>
      </w:pPr>
      <w:rPr>
        <w:rFonts w:ascii="Arial Narrow" w:eastAsia="Times New Roman" w:hAnsi="Arial Narrow"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2404C1C"/>
    <w:multiLevelType w:val="hybridMultilevel"/>
    <w:tmpl w:val="2AB015FA"/>
    <w:lvl w:ilvl="0" w:tplc="6214F26E">
      <w:numFmt w:val="bullet"/>
      <w:lvlText w:val="•"/>
      <w:lvlJc w:val="left"/>
      <w:pPr>
        <w:ind w:left="1065" w:hanging="705"/>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A973EB0"/>
    <w:multiLevelType w:val="hybridMultilevel"/>
    <w:tmpl w:val="332EEA68"/>
    <w:lvl w:ilvl="0" w:tplc="0D4EE70C">
      <w:numFmt w:val="bullet"/>
      <w:lvlText w:val="•"/>
      <w:lvlJc w:val="left"/>
      <w:pPr>
        <w:ind w:left="1065" w:hanging="705"/>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B4558D8"/>
    <w:multiLevelType w:val="hybridMultilevel"/>
    <w:tmpl w:val="8AD45144"/>
    <w:lvl w:ilvl="0" w:tplc="38D4AEB2">
      <w:numFmt w:val="bullet"/>
      <w:lvlText w:val="•"/>
      <w:lvlJc w:val="left"/>
      <w:pPr>
        <w:ind w:left="394" w:hanging="360"/>
      </w:pPr>
      <w:rPr>
        <w:rFonts w:ascii="Arial Narrow" w:eastAsia="Times New Roman" w:hAnsi="Arial Narrow" w:cs="Times New Roman"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num w:numId="1">
    <w:abstractNumId w:val="2"/>
  </w:num>
  <w:num w:numId="2">
    <w:abstractNumId w:val="4"/>
  </w:num>
  <w:num w:numId="3">
    <w:abstractNumId w:val="10"/>
  </w:num>
  <w:num w:numId="4">
    <w:abstractNumId w:val="8"/>
  </w:num>
  <w:num w:numId="5">
    <w:abstractNumId w:val="13"/>
  </w:num>
  <w:num w:numId="6">
    <w:abstractNumId w:val="7"/>
  </w:num>
  <w:num w:numId="7">
    <w:abstractNumId w:val="12"/>
  </w:num>
  <w:num w:numId="8">
    <w:abstractNumId w:val="11"/>
  </w:num>
  <w:num w:numId="9">
    <w:abstractNumId w:val="6"/>
  </w:num>
  <w:num w:numId="10">
    <w:abstractNumId w:val="3"/>
  </w:num>
  <w:num w:numId="11">
    <w:abstractNumId w:val="0"/>
  </w:num>
  <w:num w:numId="12">
    <w:abstractNumId w:val="1"/>
  </w:num>
  <w:num w:numId="13">
    <w:abstractNumId w:val="5"/>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rsids>
    <w:rsidRoot w:val="003D7B36"/>
    <w:rsid w:val="00003D4B"/>
    <w:rsid w:val="00014191"/>
    <w:rsid w:val="000822AF"/>
    <w:rsid w:val="000E5183"/>
    <w:rsid w:val="001236F6"/>
    <w:rsid w:val="00125139"/>
    <w:rsid w:val="00146825"/>
    <w:rsid w:val="00153537"/>
    <w:rsid w:val="001542B8"/>
    <w:rsid w:val="001A6F80"/>
    <w:rsid w:val="001F0F16"/>
    <w:rsid w:val="001F6571"/>
    <w:rsid w:val="00246654"/>
    <w:rsid w:val="00250279"/>
    <w:rsid w:val="002551C9"/>
    <w:rsid w:val="00261DA4"/>
    <w:rsid w:val="00273536"/>
    <w:rsid w:val="002766AF"/>
    <w:rsid w:val="00277B9C"/>
    <w:rsid w:val="002911FA"/>
    <w:rsid w:val="002B5E51"/>
    <w:rsid w:val="002C35C9"/>
    <w:rsid w:val="002C465E"/>
    <w:rsid w:val="002C63EC"/>
    <w:rsid w:val="00307BEC"/>
    <w:rsid w:val="00311046"/>
    <w:rsid w:val="003979BA"/>
    <w:rsid w:val="003D7B36"/>
    <w:rsid w:val="003E0C5B"/>
    <w:rsid w:val="00410DA6"/>
    <w:rsid w:val="00434E29"/>
    <w:rsid w:val="00473FEB"/>
    <w:rsid w:val="004B5C08"/>
    <w:rsid w:val="004F4BF8"/>
    <w:rsid w:val="0054442E"/>
    <w:rsid w:val="005A13A9"/>
    <w:rsid w:val="005B72DC"/>
    <w:rsid w:val="005C0CB5"/>
    <w:rsid w:val="005E5F71"/>
    <w:rsid w:val="005F7B63"/>
    <w:rsid w:val="0061038C"/>
    <w:rsid w:val="00616956"/>
    <w:rsid w:val="006179DF"/>
    <w:rsid w:val="00622A91"/>
    <w:rsid w:val="006402E0"/>
    <w:rsid w:val="00641104"/>
    <w:rsid w:val="00642563"/>
    <w:rsid w:val="00653E6F"/>
    <w:rsid w:val="00673C71"/>
    <w:rsid w:val="00681000"/>
    <w:rsid w:val="006F4D6F"/>
    <w:rsid w:val="0075395B"/>
    <w:rsid w:val="007A341D"/>
    <w:rsid w:val="007F1765"/>
    <w:rsid w:val="00827595"/>
    <w:rsid w:val="008570CA"/>
    <w:rsid w:val="00881C56"/>
    <w:rsid w:val="008D0F33"/>
    <w:rsid w:val="008D3CCC"/>
    <w:rsid w:val="008D55D2"/>
    <w:rsid w:val="008E14FB"/>
    <w:rsid w:val="008F4F1A"/>
    <w:rsid w:val="0097260F"/>
    <w:rsid w:val="00990056"/>
    <w:rsid w:val="009E4EED"/>
    <w:rsid w:val="00A22C5E"/>
    <w:rsid w:val="00A35D2A"/>
    <w:rsid w:val="00A777E6"/>
    <w:rsid w:val="00A84A7C"/>
    <w:rsid w:val="00AB1E1F"/>
    <w:rsid w:val="00AD0F9A"/>
    <w:rsid w:val="00B04615"/>
    <w:rsid w:val="00B05A61"/>
    <w:rsid w:val="00B21F30"/>
    <w:rsid w:val="00B31230"/>
    <w:rsid w:val="00B3161E"/>
    <w:rsid w:val="00B365E1"/>
    <w:rsid w:val="00B43ABB"/>
    <w:rsid w:val="00B449FE"/>
    <w:rsid w:val="00B7331A"/>
    <w:rsid w:val="00BA31EF"/>
    <w:rsid w:val="00BA628B"/>
    <w:rsid w:val="00BB0358"/>
    <w:rsid w:val="00C20DF2"/>
    <w:rsid w:val="00C5185F"/>
    <w:rsid w:val="00C918AE"/>
    <w:rsid w:val="00CB06A9"/>
    <w:rsid w:val="00CB24E8"/>
    <w:rsid w:val="00D36A35"/>
    <w:rsid w:val="00D37D1F"/>
    <w:rsid w:val="00D64893"/>
    <w:rsid w:val="00D67F2E"/>
    <w:rsid w:val="00DB6D3F"/>
    <w:rsid w:val="00DE0756"/>
    <w:rsid w:val="00E271C2"/>
    <w:rsid w:val="00E3775D"/>
    <w:rsid w:val="00E51B6D"/>
    <w:rsid w:val="00E776E0"/>
    <w:rsid w:val="00E822C0"/>
    <w:rsid w:val="00EC50DB"/>
    <w:rsid w:val="00F37269"/>
    <w:rsid w:val="00F6323D"/>
    <w:rsid w:val="00F91A53"/>
    <w:rsid w:val="00FA189A"/>
    <w:rsid w:val="00FC09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B3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B36"/>
    <w:pPr>
      <w:tabs>
        <w:tab w:val="center" w:pos="4536"/>
        <w:tab w:val="right" w:pos="9072"/>
      </w:tabs>
    </w:pPr>
  </w:style>
  <w:style w:type="character" w:customStyle="1" w:styleId="KopfzeileZchn">
    <w:name w:val="Kopfzeile Zchn"/>
    <w:basedOn w:val="Absatz-Standardschriftart"/>
    <w:link w:val="Kopfzeile"/>
    <w:rsid w:val="003D7B36"/>
  </w:style>
  <w:style w:type="paragraph" w:styleId="Fuzeile">
    <w:name w:val="footer"/>
    <w:basedOn w:val="Standard"/>
    <w:link w:val="FuzeileZchn"/>
    <w:unhideWhenUsed/>
    <w:rsid w:val="003D7B36"/>
    <w:pPr>
      <w:tabs>
        <w:tab w:val="center" w:pos="4536"/>
        <w:tab w:val="right" w:pos="9072"/>
      </w:tabs>
    </w:pPr>
  </w:style>
  <w:style w:type="character" w:customStyle="1" w:styleId="FuzeileZchn">
    <w:name w:val="Fußzeile Zchn"/>
    <w:basedOn w:val="Absatz-Standardschriftart"/>
    <w:link w:val="Fuzeile"/>
    <w:rsid w:val="003D7B36"/>
  </w:style>
  <w:style w:type="character" w:styleId="Hyperlink">
    <w:name w:val="Hyperlink"/>
    <w:rsid w:val="003D7B36"/>
    <w:rPr>
      <w:color w:val="0000FF"/>
      <w:u w:val="single"/>
    </w:rPr>
  </w:style>
  <w:style w:type="paragraph" w:styleId="Sprechblasentext">
    <w:name w:val="Balloon Text"/>
    <w:basedOn w:val="Standard"/>
    <w:link w:val="SprechblasentextZchn"/>
    <w:uiPriority w:val="99"/>
    <w:semiHidden/>
    <w:unhideWhenUsed/>
    <w:rsid w:val="00261D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DA4"/>
    <w:rPr>
      <w:rFonts w:ascii="Tahoma" w:eastAsia="Times New Roman" w:hAnsi="Tahoma" w:cs="Tahoma"/>
      <w:sz w:val="16"/>
      <w:szCs w:val="16"/>
      <w:lang w:eastAsia="de-DE"/>
    </w:rPr>
  </w:style>
  <w:style w:type="table" w:styleId="Tabellengitternetz">
    <w:name w:val="Table Grid"/>
    <w:basedOn w:val="NormaleTabelle"/>
    <w:uiPriority w:val="59"/>
    <w:rsid w:val="002911F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F6323D"/>
    <w:rPr>
      <w:color w:val="808080"/>
    </w:rPr>
  </w:style>
  <w:style w:type="paragraph" w:styleId="Listenabsatz">
    <w:name w:val="List Paragraph"/>
    <w:basedOn w:val="Standard"/>
    <w:uiPriority w:val="34"/>
    <w:qFormat/>
    <w:rsid w:val="00003D4B"/>
    <w:pPr>
      <w:ind w:left="720"/>
      <w:contextualSpacing/>
    </w:pPr>
  </w:style>
  <w:style w:type="paragraph" w:styleId="Funotentext">
    <w:name w:val="footnote text"/>
    <w:basedOn w:val="Standard"/>
    <w:link w:val="FunotentextZchn"/>
    <w:uiPriority w:val="99"/>
    <w:semiHidden/>
    <w:unhideWhenUsed/>
    <w:rsid w:val="005F7B63"/>
  </w:style>
  <w:style w:type="character" w:customStyle="1" w:styleId="FunotentextZchn">
    <w:name w:val="Fußnotentext Zchn"/>
    <w:basedOn w:val="Absatz-Standardschriftart"/>
    <w:link w:val="Funotentext"/>
    <w:uiPriority w:val="99"/>
    <w:semiHidden/>
    <w:rsid w:val="005F7B6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5F7B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B3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B36"/>
    <w:pPr>
      <w:tabs>
        <w:tab w:val="center" w:pos="4536"/>
        <w:tab w:val="right" w:pos="9072"/>
      </w:tabs>
    </w:pPr>
  </w:style>
  <w:style w:type="character" w:customStyle="1" w:styleId="KopfzeileZchn">
    <w:name w:val="Kopfzeile Zchn"/>
    <w:basedOn w:val="Absatz-Standardschriftart"/>
    <w:link w:val="Kopfzeile"/>
    <w:rsid w:val="003D7B36"/>
  </w:style>
  <w:style w:type="paragraph" w:styleId="Fuzeile">
    <w:name w:val="footer"/>
    <w:basedOn w:val="Standard"/>
    <w:link w:val="FuzeileZchn"/>
    <w:unhideWhenUsed/>
    <w:rsid w:val="003D7B36"/>
    <w:pPr>
      <w:tabs>
        <w:tab w:val="center" w:pos="4536"/>
        <w:tab w:val="right" w:pos="9072"/>
      </w:tabs>
    </w:pPr>
  </w:style>
  <w:style w:type="character" w:customStyle="1" w:styleId="FuzeileZchn">
    <w:name w:val="Fußzeile Zchn"/>
    <w:basedOn w:val="Absatz-Standardschriftart"/>
    <w:link w:val="Fuzeile"/>
    <w:rsid w:val="003D7B36"/>
  </w:style>
  <w:style w:type="character" w:styleId="Hyperlink">
    <w:name w:val="Hyperlink"/>
    <w:rsid w:val="003D7B36"/>
    <w:rPr>
      <w:color w:val="0000FF"/>
      <w:u w:val="single"/>
    </w:rPr>
  </w:style>
  <w:style w:type="paragraph" w:styleId="Sprechblasentext">
    <w:name w:val="Balloon Text"/>
    <w:basedOn w:val="Standard"/>
    <w:link w:val="SprechblasentextZchn"/>
    <w:uiPriority w:val="99"/>
    <w:semiHidden/>
    <w:unhideWhenUsed/>
    <w:rsid w:val="00261D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DA4"/>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202788684">
      <w:bodyDiv w:val="1"/>
      <w:marLeft w:val="0"/>
      <w:marRight w:val="0"/>
      <w:marTop w:val="0"/>
      <w:marBottom w:val="0"/>
      <w:divBdr>
        <w:top w:val="none" w:sz="0" w:space="0" w:color="auto"/>
        <w:left w:val="none" w:sz="0" w:space="0" w:color="auto"/>
        <w:bottom w:val="none" w:sz="0" w:space="0" w:color="auto"/>
        <w:right w:val="none" w:sz="0" w:space="0" w:color="auto"/>
      </w:divBdr>
    </w:div>
    <w:div w:id="371662041">
      <w:bodyDiv w:val="1"/>
      <w:marLeft w:val="0"/>
      <w:marRight w:val="0"/>
      <w:marTop w:val="0"/>
      <w:marBottom w:val="0"/>
      <w:divBdr>
        <w:top w:val="none" w:sz="0" w:space="0" w:color="auto"/>
        <w:left w:val="none" w:sz="0" w:space="0" w:color="auto"/>
        <w:bottom w:val="none" w:sz="0" w:space="0" w:color="auto"/>
        <w:right w:val="none" w:sz="0" w:space="0" w:color="auto"/>
      </w:divBdr>
    </w:div>
    <w:div w:id="15726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1CBA-251C-4828-81C3-644F10B9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Schaaff</dc:creator>
  <cp:lastModifiedBy>schaaff</cp:lastModifiedBy>
  <cp:revision>2</cp:revision>
  <cp:lastPrinted>2015-12-06T19:26:00Z</cp:lastPrinted>
  <dcterms:created xsi:type="dcterms:W3CDTF">2015-12-30T19:05:00Z</dcterms:created>
  <dcterms:modified xsi:type="dcterms:W3CDTF">2015-12-30T19:05:00Z</dcterms:modified>
</cp:coreProperties>
</file>