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5418" w:type="pct"/>
        <w:tblInd w:w="-34" w:type="dxa"/>
        <w:tblLayout w:type="fixed"/>
        <w:tblLook w:val="0600"/>
      </w:tblPr>
      <w:tblGrid>
        <w:gridCol w:w="10064"/>
      </w:tblGrid>
      <w:tr w:rsidR="00CB06A9" w:rsidRPr="00003D4B" w:rsidTr="00003D4B">
        <w:trPr>
          <w:trHeight w:val="662"/>
        </w:trPr>
        <w:tc>
          <w:tcPr>
            <w:tcW w:w="5000" w:type="pct"/>
            <w:shd w:val="clear" w:color="auto" w:fill="8DB3E2" w:themeFill="text2" w:themeFillTint="66"/>
            <w:vAlign w:val="center"/>
          </w:tcPr>
          <w:p w:rsidR="00CB06A9" w:rsidRPr="00CF38B0" w:rsidRDefault="00003D4B" w:rsidP="00174F58">
            <w:pPr>
              <w:rPr>
                <w:smallCaps/>
                <w:color w:val="FFFFFF" w:themeColor="background1"/>
                <w:sz w:val="44"/>
                <w:szCs w:val="44"/>
              </w:rPr>
            </w:pPr>
            <w:r w:rsidRPr="00CF38B0">
              <w:rPr>
                <w:rFonts w:ascii="Arial Narrow" w:hAnsi="Arial Narrow"/>
                <w:color w:val="000000" w:themeColor="text1"/>
                <w:sz w:val="44"/>
                <w:szCs w:val="44"/>
              </w:rPr>
              <w:t xml:space="preserve"> </w:t>
            </w:r>
            <w:r w:rsidR="00B3161E" w:rsidRPr="00CF38B0">
              <w:rPr>
                <w:smallCaps/>
                <w:noProof/>
                <w:color w:val="FFFFFF" w:themeColor="background1"/>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068058" o:spid="_x0000_s1026" type="#_x0000_t136" style="position:absolute;margin-left:0;margin-top:0;width:142.5pt;height:23.25pt;rotation:315;z-index:-251658752;mso-position-horizontal:center;mso-position-horizontal-relative:margin;mso-position-vertical:center;mso-position-vertical-relative:margin" o:allowincell="f" fillcolor="silver" stroked="f">
                  <v:fill opacity=".5"/>
                  <v:textpath style="font-family:&quot;Times New Roman&quot;;font-size:20pt" string="© Harald Schaaff"/>
                  <w10:wrap anchorx="margin" anchory="margin"/>
                </v:shape>
              </w:pict>
            </w:r>
            <w:r w:rsidR="00174F58" w:rsidRPr="00CF38B0">
              <w:rPr>
                <w:smallCaps/>
                <w:noProof/>
                <w:color w:val="FFFFFF" w:themeColor="background1"/>
                <w:sz w:val="44"/>
                <w:szCs w:val="44"/>
              </w:rPr>
              <w:t>Risiko Ansprüche des Fonds</w:t>
            </w:r>
            <w:r w:rsidR="00D67F2E" w:rsidRPr="00CF38B0">
              <w:rPr>
                <w:rFonts w:ascii="Arial Narrow" w:hAnsi="Arial Narrow"/>
                <w:smallCaps/>
                <w:color w:val="FFFFFF" w:themeColor="background1"/>
                <w:sz w:val="44"/>
                <w:szCs w:val="44"/>
              </w:rPr>
              <w:t xml:space="preserve"> </w:t>
            </w:r>
          </w:p>
        </w:tc>
      </w:tr>
      <w:tr w:rsidR="0054442E" w:rsidRPr="00C62734" w:rsidTr="00003D4B">
        <w:trPr>
          <w:trHeight w:val="195"/>
        </w:trPr>
        <w:tc>
          <w:tcPr>
            <w:tcW w:w="5000" w:type="pct"/>
            <w:shd w:val="clear" w:color="auto" w:fill="C6D9F1" w:themeFill="text2" w:themeFillTint="33"/>
            <w:vAlign w:val="center"/>
          </w:tcPr>
          <w:p w:rsidR="0054442E" w:rsidRPr="002C35C9" w:rsidRDefault="0054442E" w:rsidP="002911FA">
            <w:pPr>
              <w:ind w:right="-37"/>
              <w:rPr>
                <w:rFonts w:ascii="Arial Narrow" w:hAnsi="Arial Narrow"/>
                <w:bCs/>
              </w:rPr>
            </w:pPr>
          </w:p>
        </w:tc>
      </w:tr>
      <w:tr w:rsidR="007F1765" w:rsidRPr="00003D4B" w:rsidTr="007F1765">
        <w:trPr>
          <w:trHeight w:val="195"/>
        </w:trPr>
        <w:tc>
          <w:tcPr>
            <w:tcW w:w="5000" w:type="pct"/>
            <w:shd w:val="clear" w:color="auto" w:fill="FFFFFF" w:themeFill="background1"/>
            <w:vAlign w:val="center"/>
          </w:tcPr>
          <w:p w:rsidR="00174F58" w:rsidRPr="00174F58" w:rsidRDefault="00174F58" w:rsidP="00174F58">
            <w:pPr>
              <w:shd w:val="clear" w:color="auto" w:fill="FFFFFF" w:themeFill="background1"/>
              <w:autoSpaceDE w:val="0"/>
              <w:autoSpaceDN w:val="0"/>
              <w:adjustRightInd w:val="0"/>
              <w:spacing w:before="120"/>
              <w:rPr>
                <w:rFonts w:ascii="Arial Narrow" w:hAnsi="Arial Narrow"/>
                <w:sz w:val="18"/>
                <w:szCs w:val="18"/>
              </w:rPr>
            </w:pPr>
            <w:r w:rsidRPr="00174F58">
              <w:rPr>
                <w:rFonts w:ascii="Arial Narrow" w:hAnsi="Arial Narrow"/>
                <w:sz w:val="18"/>
                <w:szCs w:val="18"/>
              </w:rPr>
              <w:t>Die kombinierte Fondsversicherung auf Basis des exklusiven Konzeptes der MAC bietet umfassenden Schutz von Fondsmanagern und Führungsorganen vor den finanziellen Konsequenzen eines möglichen Anspruchs auf Grund von Managementfehlern. Dies beinhalte, einmalig am deuts</w:t>
            </w:r>
            <w:r w:rsidR="00CF38B0">
              <w:rPr>
                <w:rFonts w:ascii="Arial Narrow" w:hAnsi="Arial Narrow"/>
                <w:sz w:val="18"/>
                <w:szCs w:val="18"/>
              </w:rPr>
              <w:t>chs</w:t>
            </w:r>
            <w:r w:rsidRPr="00174F58">
              <w:rPr>
                <w:rFonts w:ascii="Arial Narrow" w:hAnsi="Arial Narrow"/>
                <w:sz w:val="18"/>
                <w:szCs w:val="18"/>
              </w:rPr>
              <w:t xml:space="preserve">prachigen Markt auch Ansprüche des Fonds oder der Fonds – Tochterunternehmen, welche im Interesse der Anleger erhoben werden. </w:t>
            </w:r>
          </w:p>
          <w:p w:rsidR="00174F58" w:rsidRPr="00174F58" w:rsidRDefault="00174F58" w:rsidP="00174F58">
            <w:pPr>
              <w:shd w:val="clear" w:color="auto" w:fill="FFFFFF" w:themeFill="background1"/>
              <w:autoSpaceDE w:val="0"/>
              <w:autoSpaceDN w:val="0"/>
              <w:adjustRightInd w:val="0"/>
              <w:spacing w:before="120"/>
              <w:rPr>
                <w:rFonts w:ascii="Arial Narrow" w:hAnsi="Arial Narrow"/>
                <w:sz w:val="18"/>
                <w:szCs w:val="18"/>
              </w:rPr>
            </w:pPr>
            <w:r w:rsidRPr="00174F58">
              <w:rPr>
                <w:rFonts w:ascii="Arial Narrow" w:hAnsi="Arial Narrow"/>
                <w:sz w:val="18"/>
                <w:szCs w:val="18"/>
              </w:rPr>
              <w:t>Wettbewerber bieten hingegen nur Deckung für Fondsmanagement und Prospekthaftungs</w:t>
            </w:r>
            <w:r w:rsidR="00CF38B0">
              <w:rPr>
                <w:rFonts w:ascii="Arial Narrow" w:hAnsi="Arial Narrow"/>
                <w:sz w:val="18"/>
                <w:szCs w:val="18"/>
              </w:rPr>
              <w:t>a</w:t>
            </w:r>
            <w:r w:rsidRPr="00174F58">
              <w:rPr>
                <w:rFonts w:ascii="Arial Narrow" w:hAnsi="Arial Narrow"/>
                <w:sz w:val="18"/>
                <w:szCs w:val="18"/>
              </w:rPr>
              <w:t xml:space="preserve">nsprüche, die direkt vom "Anleger" oder "Dritten" erhoben werden (Einzelansprüche), nicht jedoch für im Interesse des Anlegers durch die Fonds-KG gegen das Fondsmanager-, Initiator- oder Treuhandunternehmen erhobene Ansprüche. Der einzige Wettbewerber, der das bisher noch geboten hatte, ist inzwischen auf die harte Linie umgeschwenkt. </w:t>
            </w:r>
          </w:p>
          <w:p w:rsidR="007F1765" w:rsidRPr="007F1765" w:rsidRDefault="00174F58" w:rsidP="00174F58">
            <w:pPr>
              <w:shd w:val="clear" w:color="auto" w:fill="FFFFFF" w:themeFill="background1"/>
              <w:autoSpaceDE w:val="0"/>
              <w:autoSpaceDN w:val="0"/>
              <w:adjustRightInd w:val="0"/>
              <w:spacing w:before="120"/>
              <w:rPr>
                <w:rFonts w:ascii="Arial Narrow" w:hAnsi="Arial Narrow"/>
                <w:sz w:val="22"/>
                <w:szCs w:val="22"/>
              </w:rPr>
            </w:pPr>
            <w:r w:rsidRPr="00174F58">
              <w:rPr>
                <w:rFonts w:ascii="Arial Narrow" w:hAnsi="Arial Narrow"/>
                <w:sz w:val="18"/>
                <w:szCs w:val="18"/>
              </w:rPr>
              <w:t xml:space="preserve">Nicht versichert ist damit, wenn der oder die Anleger auf Leistung an den Fonds klagt/klagen (sog. </w:t>
            </w:r>
            <w:proofErr w:type="spellStart"/>
            <w:r w:rsidRPr="00174F58">
              <w:rPr>
                <w:rFonts w:ascii="Arial Narrow" w:hAnsi="Arial Narrow"/>
                <w:sz w:val="18"/>
                <w:szCs w:val="18"/>
              </w:rPr>
              <w:t>Actio</w:t>
            </w:r>
            <w:proofErr w:type="spellEnd"/>
            <w:r w:rsidRPr="00174F58">
              <w:rPr>
                <w:rFonts w:ascii="Arial Narrow" w:hAnsi="Arial Narrow"/>
                <w:sz w:val="18"/>
                <w:szCs w:val="18"/>
              </w:rPr>
              <w:t xml:space="preserve"> pro </w:t>
            </w:r>
            <w:proofErr w:type="spellStart"/>
            <w:r w:rsidRPr="00174F58">
              <w:rPr>
                <w:rFonts w:ascii="Arial Narrow" w:hAnsi="Arial Narrow"/>
                <w:sz w:val="18"/>
                <w:szCs w:val="18"/>
              </w:rPr>
              <w:t>Socio</w:t>
            </w:r>
            <w:proofErr w:type="spellEnd"/>
            <w:r w:rsidRPr="00174F58">
              <w:rPr>
                <w:rFonts w:ascii="Arial Narrow" w:hAnsi="Arial Narrow"/>
                <w:sz w:val="18"/>
                <w:szCs w:val="18"/>
              </w:rPr>
              <w:t xml:space="preserve">, da der Fonds nicht Dritter ist), oder wenn der Komplementär dazu gezwungen sein sollte für den Fonds Klage zu erheben.  </w:t>
            </w:r>
          </w:p>
        </w:tc>
      </w:tr>
      <w:tr w:rsidR="007F1765" w:rsidRPr="00003D4B" w:rsidTr="007F1765">
        <w:trPr>
          <w:trHeight w:val="352"/>
        </w:trPr>
        <w:tc>
          <w:tcPr>
            <w:tcW w:w="5000" w:type="pct"/>
            <w:shd w:val="clear" w:color="auto" w:fill="DBE5F1" w:themeFill="accent1" w:themeFillTint="33"/>
            <w:vAlign w:val="center"/>
          </w:tcPr>
          <w:p w:rsidR="007F1765" w:rsidRPr="00003D4B" w:rsidRDefault="00174F58" w:rsidP="007F1765">
            <w:pPr>
              <w:autoSpaceDE w:val="0"/>
              <w:autoSpaceDN w:val="0"/>
              <w:adjustRightInd w:val="0"/>
              <w:rPr>
                <w:rFonts w:ascii="Arial Narrow" w:hAnsi="Arial Narrow"/>
                <w:smallCaps/>
                <w:color w:val="000000"/>
                <w:sz w:val="22"/>
                <w:szCs w:val="22"/>
                <w:lang w:bidi="bn-IN"/>
              </w:rPr>
            </w:pPr>
            <w:r w:rsidRPr="00174F58">
              <w:rPr>
                <w:rFonts w:ascii="Arial Narrow" w:hAnsi="Arial Narrow"/>
                <w:smallCaps/>
                <w:sz w:val="22"/>
                <w:szCs w:val="22"/>
              </w:rPr>
              <w:t>RISIKOSZENARIEN</w:t>
            </w:r>
          </w:p>
        </w:tc>
      </w:tr>
      <w:tr w:rsidR="007F1765" w:rsidRPr="00003D4B" w:rsidTr="007F1765">
        <w:trPr>
          <w:trHeight w:val="195"/>
        </w:trPr>
        <w:tc>
          <w:tcPr>
            <w:tcW w:w="5000" w:type="pct"/>
            <w:shd w:val="clear" w:color="auto" w:fill="FFFFFF" w:themeFill="background1"/>
            <w:vAlign w:val="center"/>
          </w:tcPr>
          <w:p w:rsidR="00174F58" w:rsidRPr="00174F58" w:rsidRDefault="00174F58" w:rsidP="00174F58">
            <w:pPr>
              <w:shd w:val="clear" w:color="auto" w:fill="FFFFFF" w:themeFill="background1"/>
              <w:autoSpaceDE w:val="0"/>
              <w:autoSpaceDN w:val="0"/>
              <w:adjustRightInd w:val="0"/>
              <w:spacing w:before="120"/>
              <w:rPr>
                <w:rFonts w:ascii="Arial Narrow" w:hAnsi="Arial Narrow"/>
                <w:sz w:val="18"/>
                <w:szCs w:val="18"/>
              </w:rPr>
            </w:pPr>
            <w:r w:rsidRPr="00174F58">
              <w:rPr>
                <w:rFonts w:ascii="Arial Narrow" w:hAnsi="Arial Narrow"/>
                <w:sz w:val="18"/>
                <w:szCs w:val="18"/>
              </w:rPr>
              <w:t>Denkbar sind zwei Szenarien</w:t>
            </w:r>
          </w:p>
          <w:p w:rsidR="00174F58" w:rsidRPr="00CF38B0" w:rsidRDefault="00174F58" w:rsidP="00CF38B0">
            <w:pPr>
              <w:pStyle w:val="Listenabsatz"/>
              <w:numPr>
                <w:ilvl w:val="0"/>
                <w:numId w:val="19"/>
              </w:numPr>
              <w:shd w:val="clear" w:color="auto" w:fill="FFFFFF" w:themeFill="background1"/>
              <w:autoSpaceDE w:val="0"/>
              <w:autoSpaceDN w:val="0"/>
              <w:adjustRightInd w:val="0"/>
              <w:spacing w:before="120"/>
              <w:ind w:left="318" w:hanging="318"/>
              <w:rPr>
                <w:rFonts w:ascii="Arial Narrow" w:hAnsi="Arial Narrow"/>
                <w:sz w:val="18"/>
                <w:szCs w:val="18"/>
              </w:rPr>
            </w:pPr>
            <w:r w:rsidRPr="00CF38B0">
              <w:rPr>
                <w:rFonts w:ascii="Arial Narrow" w:hAnsi="Arial Narrow"/>
                <w:sz w:val="18"/>
                <w:szCs w:val="18"/>
              </w:rPr>
              <w:t xml:space="preserve">Anspruch der KG erhoben durch den deren gesetzlichen Vertreter, die Komplementär GmbH. </w:t>
            </w:r>
          </w:p>
          <w:p w:rsidR="007F1765" w:rsidRPr="00CF38B0" w:rsidRDefault="00174F58" w:rsidP="00CF38B0">
            <w:pPr>
              <w:pStyle w:val="Listenabsatz"/>
              <w:numPr>
                <w:ilvl w:val="0"/>
                <w:numId w:val="19"/>
              </w:numPr>
              <w:shd w:val="clear" w:color="auto" w:fill="FFFFFF" w:themeFill="background1"/>
              <w:autoSpaceDE w:val="0"/>
              <w:autoSpaceDN w:val="0"/>
              <w:adjustRightInd w:val="0"/>
              <w:spacing w:before="120"/>
              <w:ind w:left="318" w:hanging="318"/>
              <w:rPr>
                <w:rFonts w:ascii="Arial Narrow" w:hAnsi="Arial Narrow"/>
                <w:sz w:val="18"/>
                <w:szCs w:val="18"/>
              </w:rPr>
            </w:pPr>
            <w:r w:rsidRPr="00CF38B0">
              <w:rPr>
                <w:rFonts w:ascii="Arial Narrow" w:hAnsi="Arial Narrow"/>
                <w:sz w:val="18"/>
                <w:szCs w:val="18"/>
              </w:rPr>
              <w:t xml:space="preserve">Der Weg über die </w:t>
            </w:r>
            <w:proofErr w:type="spellStart"/>
            <w:r w:rsidRPr="00CF38B0">
              <w:rPr>
                <w:rFonts w:ascii="Arial Narrow" w:hAnsi="Arial Narrow"/>
                <w:sz w:val="18"/>
                <w:szCs w:val="18"/>
              </w:rPr>
              <w:t>Actio</w:t>
            </w:r>
            <w:proofErr w:type="spellEnd"/>
            <w:r w:rsidRPr="00CF38B0">
              <w:rPr>
                <w:rFonts w:ascii="Arial Narrow" w:hAnsi="Arial Narrow"/>
                <w:sz w:val="18"/>
                <w:szCs w:val="18"/>
              </w:rPr>
              <w:t xml:space="preserve"> pro </w:t>
            </w:r>
            <w:proofErr w:type="spellStart"/>
            <w:r w:rsidRPr="00CF38B0">
              <w:rPr>
                <w:rFonts w:ascii="Arial Narrow" w:hAnsi="Arial Narrow"/>
                <w:sz w:val="18"/>
                <w:szCs w:val="18"/>
              </w:rPr>
              <w:t>socio</w:t>
            </w:r>
            <w:proofErr w:type="spellEnd"/>
            <w:r w:rsidRPr="00CF38B0">
              <w:rPr>
                <w:rFonts w:ascii="Arial Narrow" w:hAnsi="Arial Narrow"/>
                <w:sz w:val="18"/>
                <w:szCs w:val="18"/>
              </w:rPr>
              <w:t>. Dieser Begriff bezeichnet die Geltendmachung der Gesellschaft zustehender Ansprüche der Gesellschaft durch einen einzelnen Gesellschafter, wenn ein anderer Gesellschafter (z.B. die Komplementärin) nicht handelt (</w:t>
            </w:r>
            <w:proofErr w:type="spellStart"/>
            <w:r w:rsidRPr="00CF38B0">
              <w:rPr>
                <w:rFonts w:ascii="Arial Narrow" w:hAnsi="Arial Narrow"/>
                <w:sz w:val="18"/>
                <w:szCs w:val="18"/>
              </w:rPr>
              <w:t>Actio</w:t>
            </w:r>
            <w:proofErr w:type="spellEnd"/>
            <w:r w:rsidRPr="00CF38B0">
              <w:rPr>
                <w:rFonts w:ascii="Arial Narrow" w:hAnsi="Arial Narrow"/>
                <w:sz w:val="18"/>
                <w:szCs w:val="18"/>
              </w:rPr>
              <w:t xml:space="preserve"> pro </w:t>
            </w:r>
            <w:proofErr w:type="spellStart"/>
            <w:r w:rsidRPr="00CF38B0">
              <w:rPr>
                <w:rFonts w:ascii="Arial Narrow" w:hAnsi="Arial Narrow"/>
                <w:sz w:val="18"/>
                <w:szCs w:val="18"/>
              </w:rPr>
              <w:t>socio</w:t>
            </w:r>
            <w:proofErr w:type="spellEnd"/>
            <w:r w:rsidRPr="00CF38B0">
              <w:rPr>
                <w:rFonts w:ascii="Arial Narrow" w:hAnsi="Arial Narrow"/>
                <w:sz w:val="18"/>
                <w:szCs w:val="18"/>
              </w:rPr>
              <w:t xml:space="preserve">).   </w:t>
            </w:r>
          </w:p>
        </w:tc>
      </w:tr>
      <w:tr w:rsidR="007F1765" w:rsidRPr="00003D4B" w:rsidTr="007F1765">
        <w:trPr>
          <w:trHeight w:val="352"/>
        </w:trPr>
        <w:tc>
          <w:tcPr>
            <w:tcW w:w="5000" w:type="pct"/>
            <w:shd w:val="clear" w:color="auto" w:fill="DBE5F1" w:themeFill="accent1" w:themeFillTint="33"/>
            <w:vAlign w:val="center"/>
          </w:tcPr>
          <w:p w:rsidR="007F1765" w:rsidRPr="00003D4B" w:rsidRDefault="00CF38B0" w:rsidP="007F1765">
            <w:pPr>
              <w:autoSpaceDE w:val="0"/>
              <w:autoSpaceDN w:val="0"/>
              <w:adjustRightInd w:val="0"/>
              <w:rPr>
                <w:rFonts w:ascii="Arial Narrow" w:hAnsi="Arial Narrow"/>
                <w:smallCaps/>
                <w:color w:val="000000"/>
                <w:sz w:val="22"/>
                <w:szCs w:val="22"/>
                <w:lang w:bidi="bn-IN"/>
              </w:rPr>
            </w:pPr>
            <w:r w:rsidRPr="00CF38B0">
              <w:rPr>
                <w:rFonts w:ascii="Arial Narrow" w:hAnsi="Arial Narrow"/>
                <w:smallCaps/>
                <w:sz w:val="22"/>
                <w:szCs w:val="22"/>
              </w:rPr>
              <w:t>DEFINITION ACTIO PRO SOCIO</w:t>
            </w:r>
          </w:p>
        </w:tc>
      </w:tr>
      <w:tr w:rsidR="007F1765" w:rsidRPr="00003D4B" w:rsidTr="007F1765">
        <w:trPr>
          <w:trHeight w:val="195"/>
        </w:trPr>
        <w:tc>
          <w:tcPr>
            <w:tcW w:w="5000" w:type="pct"/>
            <w:shd w:val="clear" w:color="auto" w:fill="FFFFFF" w:themeFill="background1"/>
            <w:vAlign w:val="center"/>
          </w:tcPr>
          <w:p w:rsidR="00CF38B0" w:rsidRPr="00174F58" w:rsidRDefault="00CF38B0" w:rsidP="00CF38B0">
            <w:pPr>
              <w:shd w:val="clear" w:color="auto" w:fill="FFFFFF" w:themeFill="background1"/>
              <w:autoSpaceDE w:val="0"/>
              <w:autoSpaceDN w:val="0"/>
              <w:adjustRightInd w:val="0"/>
              <w:spacing w:before="120"/>
              <w:rPr>
                <w:rFonts w:ascii="Arial Narrow" w:hAnsi="Arial Narrow"/>
                <w:sz w:val="18"/>
                <w:szCs w:val="18"/>
              </w:rPr>
            </w:pPr>
            <w:r w:rsidRPr="00174F58">
              <w:rPr>
                <w:rFonts w:ascii="Arial Narrow" w:hAnsi="Arial Narrow"/>
                <w:sz w:val="18"/>
                <w:szCs w:val="18"/>
              </w:rPr>
              <w:t xml:space="preserve">Das Risiko einer </w:t>
            </w:r>
            <w:proofErr w:type="spellStart"/>
            <w:r w:rsidRPr="00174F58">
              <w:rPr>
                <w:rFonts w:ascii="Arial Narrow" w:hAnsi="Arial Narrow"/>
                <w:sz w:val="18"/>
                <w:szCs w:val="18"/>
              </w:rPr>
              <w:t>Actio</w:t>
            </w:r>
            <w:proofErr w:type="spellEnd"/>
            <w:r w:rsidRPr="00174F58">
              <w:rPr>
                <w:rFonts w:ascii="Arial Narrow" w:hAnsi="Arial Narrow"/>
                <w:sz w:val="18"/>
                <w:szCs w:val="18"/>
              </w:rPr>
              <w:t xml:space="preserve"> pro </w:t>
            </w:r>
            <w:proofErr w:type="spellStart"/>
            <w:r w:rsidRPr="00174F58">
              <w:rPr>
                <w:rFonts w:ascii="Arial Narrow" w:hAnsi="Arial Narrow"/>
                <w:sz w:val="18"/>
                <w:szCs w:val="18"/>
              </w:rPr>
              <w:t>Socio</w:t>
            </w:r>
            <w:proofErr w:type="spellEnd"/>
            <w:r w:rsidRPr="00174F58">
              <w:rPr>
                <w:rFonts w:ascii="Arial Narrow" w:hAnsi="Arial Narrow"/>
                <w:sz w:val="18"/>
                <w:szCs w:val="18"/>
              </w:rPr>
              <w:t xml:space="preserve"> sollte auch bei einer </w:t>
            </w:r>
            <w:proofErr w:type="spellStart"/>
            <w:r w:rsidRPr="00174F58">
              <w:rPr>
                <w:rFonts w:ascii="Arial Narrow" w:hAnsi="Arial Narrow"/>
                <w:sz w:val="18"/>
                <w:szCs w:val="18"/>
              </w:rPr>
              <w:t>Initiatorendominierten</w:t>
            </w:r>
            <w:proofErr w:type="spellEnd"/>
            <w:r w:rsidRPr="00174F58">
              <w:rPr>
                <w:rFonts w:ascii="Arial Narrow" w:hAnsi="Arial Narrow"/>
                <w:sz w:val="18"/>
                <w:szCs w:val="18"/>
              </w:rPr>
              <w:t xml:space="preserve"> Komplementärin nicht unterschätzt werden. </w:t>
            </w:r>
          </w:p>
          <w:p w:rsidR="00CF38B0" w:rsidRPr="00174F58" w:rsidRDefault="00CF38B0" w:rsidP="00CF38B0">
            <w:pPr>
              <w:shd w:val="clear" w:color="auto" w:fill="FFFFFF" w:themeFill="background1"/>
              <w:autoSpaceDE w:val="0"/>
              <w:autoSpaceDN w:val="0"/>
              <w:adjustRightInd w:val="0"/>
              <w:spacing w:before="120"/>
              <w:rPr>
                <w:rFonts w:ascii="Arial Narrow" w:hAnsi="Arial Narrow"/>
                <w:sz w:val="18"/>
                <w:szCs w:val="18"/>
              </w:rPr>
            </w:pPr>
            <w:r w:rsidRPr="00174F58">
              <w:rPr>
                <w:rFonts w:ascii="Arial Narrow" w:hAnsi="Arial Narrow"/>
                <w:sz w:val="18"/>
                <w:szCs w:val="18"/>
              </w:rPr>
              <w:t xml:space="preserve">Zum Thema lesen Sie in der </w:t>
            </w:r>
            <w:proofErr w:type="spellStart"/>
            <w:r w:rsidRPr="00174F58">
              <w:rPr>
                <w:rFonts w:ascii="Arial Narrow" w:hAnsi="Arial Narrow"/>
                <w:sz w:val="18"/>
                <w:szCs w:val="18"/>
              </w:rPr>
              <w:t>Wikipedia</w:t>
            </w:r>
            <w:proofErr w:type="spellEnd"/>
            <w:r w:rsidRPr="00174F58">
              <w:rPr>
                <w:rFonts w:ascii="Arial Narrow" w:hAnsi="Arial Narrow"/>
                <w:sz w:val="18"/>
                <w:szCs w:val="18"/>
              </w:rPr>
              <w:t>-Enzyklopädie (http://de.wikipedia.org/wiki/Actio_pro_socio)</w:t>
            </w:r>
          </w:p>
          <w:p w:rsidR="00CF38B0" w:rsidRPr="00CF38B0" w:rsidRDefault="00CF38B0" w:rsidP="00CF38B0">
            <w:pPr>
              <w:pStyle w:val="Listenabsatz"/>
              <w:numPr>
                <w:ilvl w:val="0"/>
                <w:numId w:val="17"/>
              </w:numPr>
              <w:shd w:val="clear" w:color="auto" w:fill="FFFFFF" w:themeFill="background1"/>
              <w:autoSpaceDE w:val="0"/>
              <w:autoSpaceDN w:val="0"/>
              <w:adjustRightInd w:val="0"/>
              <w:spacing w:before="120"/>
              <w:ind w:left="318" w:hanging="284"/>
              <w:rPr>
                <w:rFonts w:ascii="Arial Narrow" w:hAnsi="Arial Narrow"/>
                <w:sz w:val="18"/>
                <w:szCs w:val="18"/>
              </w:rPr>
            </w:pPr>
            <w:proofErr w:type="spellStart"/>
            <w:r w:rsidRPr="00CF38B0">
              <w:rPr>
                <w:rFonts w:ascii="Arial Narrow" w:hAnsi="Arial Narrow"/>
                <w:sz w:val="18"/>
                <w:szCs w:val="18"/>
              </w:rPr>
              <w:t>Actio</w:t>
            </w:r>
            <w:proofErr w:type="spellEnd"/>
            <w:r w:rsidRPr="00CF38B0">
              <w:rPr>
                <w:rFonts w:ascii="Arial Narrow" w:hAnsi="Arial Narrow"/>
                <w:sz w:val="18"/>
                <w:szCs w:val="18"/>
              </w:rPr>
              <w:t xml:space="preserve"> pro </w:t>
            </w:r>
            <w:proofErr w:type="spellStart"/>
            <w:r w:rsidRPr="00CF38B0">
              <w:rPr>
                <w:rFonts w:ascii="Arial Narrow" w:hAnsi="Arial Narrow"/>
                <w:sz w:val="18"/>
                <w:szCs w:val="18"/>
              </w:rPr>
              <w:t>socio</w:t>
            </w:r>
            <w:proofErr w:type="spellEnd"/>
            <w:r w:rsidRPr="00CF38B0">
              <w:rPr>
                <w:rFonts w:ascii="Arial Narrow" w:hAnsi="Arial Narrow"/>
                <w:sz w:val="18"/>
                <w:szCs w:val="18"/>
              </w:rPr>
              <w:t xml:space="preserve"> ist ein gesellschaftsrechtlicher Begriff und bezeichnet die Geltendmachung der Gesellschaft zustehender Ansprüche der Gesellschaft durch einen einzelnen Gesellschafter.</w:t>
            </w:r>
          </w:p>
          <w:p w:rsidR="00CF38B0" w:rsidRPr="00CF38B0" w:rsidRDefault="00CF38B0" w:rsidP="00CF38B0">
            <w:pPr>
              <w:pStyle w:val="Listenabsatz"/>
              <w:numPr>
                <w:ilvl w:val="0"/>
                <w:numId w:val="17"/>
              </w:numPr>
              <w:shd w:val="clear" w:color="auto" w:fill="FFFFFF" w:themeFill="background1"/>
              <w:autoSpaceDE w:val="0"/>
              <w:autoSpaceDN w:val="0"/>
              <w:adjustRightInd w:val="0"/>
              <w:spacing w:before="120"/>
              <w:ind w:left="318" w:hanging="284"/>
              <w:rPr>
                <w:rFonts w:ascii="Arial Narrow" w:hAnsi="Arial Narrow"/>
                <w:sz w:val="18"/>
                <w:szCs w:val="18"/>
              </w:rPr>
            </w:pPr>
            <w:r w:rsidRPr="00CF38B0">
              <w:rPr>
                <w:rFonts w:ascii="Arial Narrow" w:hAnsi="Arial Narrow"/>
                <w:sz w:val="18"/>
                <w:szCs w:val="18"/>
              </w:rPr>
              <w:t xml:space="preserve">Der einzelne Gesellschafter macht hierbei das Recht der Gesellschaft im eigenen Namen als </w:t>
            </w:r>
            <w:proofErr w:type="spellStart"/>
            <w:r w:rsidRPr="00CF38B0">
              <w:rPr>
                <w:rFonts w:ascii="Arial Narrow" w:hAnsi="Arial Narrow"/>
                <w:sz w:val="18"/>
                <w:szCs w:val="18"/>
              </w:rPr>
              <w:t>Prozessstandschafter</w:t>
            </w:r>
            <w:proofErr w:type="spellEnd"/>
            <w:r w:rsidRPr="00CF38B0">
              <w:rPr>
                <w:rFonts w:ascii="Arial Narrow" w:hAnsi="Arial Narrow"/>
                <w:sz w:val="18"/>
                <w:szCs w:val="18"/>
              </w:rPr>
              <w:t xml:space="preserve"> für die Gesellschaft geltend. BGHZ 25, 47: "Da die gesellschaftsvertraglichen Verpflichtungen eines jeden Gesellschafters auf dem Gesellschaftsvertrag beruhen, und Partner dieses Vertrages sämtliche Gesellschafter sind, steht jedem von ihnen grundsätzlich ein Anspruch darauf zu, dass der andere die von ihm übernommenen Verpflichtungen erfüllt." </w:t>
            </w:r>
          </w:p>
          <w:p w:rsidR="00CF38B0" w:rsidRPr="00CF38B0" w:rsidRDefault="00CF38B0" w:rsidP="00CF38B0">
            <w:pPr>
              <w:pStyle w:val="Listenabsatz"/>
              <w:numPr>
                <w:ilvl w:val="0"/>
                <w:numId w:val="17"/>
              </w:numPr>
              <w:shd w:val="clear" w:color="auto" w:fill="FFFFFF" w:themeFill="background1"/>
              <w:autoSpaceDE w:val="0"/>
              <w:autoSpaceDN w:val="0"/>
              <w:adjustRightInd w:val="0"/>
              <w:spacing w:before="120"/>
              <w:ind w:left="318" w:hanging="284"/>
              <w:rPr>
                <w:rFonts w:ascii="Arial Narrow" w:hAnsi="Arial Narrow"/>
                <w:sz w:val="18"/>
                <w:szCs w:val="18"/>
              </w:rPr>
            </w:pPr>
            <w:r w:rsidRPr="00CF38B0">
              <w:rPr>
                <w:rFonts w:ascii="Arial Narrow" w:hAnsi="Arial Narrow"/>
                <w:sz w:val="18"/>
                <w:szCs w:val="18"/>
              </w:rPr>
              <w:t xml:space="preserve">Dies ist insbesondere dann von Bedeutung, wenn A als Klagender die Gesellschaft nicht vor Gericht vertreten kann, weil er z. B. nach dem Gesellschaftsvertrag nicht vertretungsbefugt ist. Wäre er dies, so könnte er ein eigenes Recht der Gesellschaft in deren Namen geltend machen und bedürfte keiner </w:t>
            </w:r>
            <w:proofErr w:type="spellStart"/>
            <w:r w:rsidRPr="00CF38B0">
              <w:rPr>
                <w:rFonts w:ascii="Arial Narrow" w:hAnsi="Arial Narrow"/>
                <w:sz w:val="18"/>
                <w:szCs w:val="18"/>
              </w:rPr>
              <w:t>actio</w:t>
            </w:r>
            <w:proofErr w:type="spellEnd"/>
            <w:r w:rsidRPr="00CF38B0">
              <w:rPr>
                <w:rFonts w:ascii="Arial Narrow" w:hAnsi="Arial Narrow"/>
                <w:sz w:val="18"/>
                <w:szCs w:val="18"/>
              </w:rPr>
              <w:t xml:space="preserve"> pro </w:t>
            </w:r>
            <w:proofErr w:type="spellStart"/>
            <w:r w:rsidRPr="00CF38B0">
              <w:rPr>
                <w:rFonts w:ascii="Arial Narrow" w:hAnsi="Arial Narrow"/>
                <w:sz w:val="18"/>
                <w:szCs w:val="18"/>
              </w:rPr>
              <w:t>socio</w:t>
            </w:r>
            <w:proofErr w:type="spellEnd"/>
            <w:r w:rsidRPr="00CF38B0">
              <w:rPr>
                <w:rFonts w:ascii="Arial Narrow" w:hAnsi="Arial Narrow"/>
                <w:sz w:val="18"/>
                <w:szCs w:val="18"/>
              </w:rPr>
              <w:t>.</w:t>
            </w:r>
          </w:p>
          <w:p w:rsidR="007F1765" w:rsidRPr="00CF38B0" w:rsidRDefault="00CF38B0" w:rsidP="00CF38B0">
            <w:pPr>
              <w:pStyle w:val="Listenabsatz"/>
              <w:numPr>
                <w:ilvl w:val="0"/>
                <w:numId w:val="17"/>
              </w:numPr>
              <w:shd w:val="clear" w:color="auto" w:fill="FFFFFF" w:themeFill="background1"/>
              <w:autoSpaceDE w:val="0"/>
              <w:autoSpaceDN w:val="0"/>
              <w:adjustRightInd w:val="0"/>
              <w:spacing w:before="120"/>
              <w:ind w:left="318" w:hanging="284"/>
              <w:rPr>
                <w:rFonts w:ascii="Arial Narrow" w:hAnsi="Arial Narrow"/>
                <w:sz w:val="18"/>
                <w:szCs w:val="18"/>
              </w:rPr>
            </w:pPr>
            <w:r w:rsidRPr="00CF38B0">
              <w:rPr>
                <w:rFonts w:ascii="Arial Narrow" w:hAnsi="Arial Narrow"/>
                <w:sz w:val="18"/>
                <w:szCs w:val="18"/>
              </w:rPr>
              <w:t xml:space="preserve">Das Recht, gegen einzelne Gesellschafter im Wege der </w:t>
            </w:r>
            <w:proofErr w:type="spellStart"/>
            <w:r w:rsidRPr="00CF38B0">
              <w:rPr>
                <w:rFonts w:ascii="Arial Narrow" w:hAnsi="Arial Narrow"/>
                <w:sz w:val="18"/>
                <w:szCs w:val="18"/>
              </w:rPr>
              <w:t>actio</w:t>
            </w:r>
            <w:proofErr w:type="spellEnd"/>
            <w:r w:rsidRPr="00CF38B0">
              <w:rPr>
                <w:rFonts w:ascii="Arial Narrow" w:hAnsi="Arial Narrow"/>
                <w:sz w:val="18"/>
                <w:szCs w:val="18"/>
              </w:rPr>
              <w:t xml:space="preserve"> pro </w:t>
            </w:r>
            <w:proofErr w:type="spellStart"/>
            <w:r w:rsidRPr="00CF38B0">
              <w:rPr>
                <w:rFonts w:ascii="Arial Narrow" w:hAnsi="Arial Narrow"/>
                <w:sz w:val="18"/>
                <w:szCs w:val="18"/>
              </w:rPr>
              <w:t>socio</w:t>
            </w:r>
            <w:proofErr w:type="spellEnd"/>
            <w:r w:rsidRPr="00CF38B0">
              <w:rPr>
                <w:rFonts w:ascii="Arial Narrow" w:hAnsi="Arial Narrow"/>
                <w:sz w:val="18"/>
                <w:szCs w:val="18"/>
              </w:rPr>
              <w:t xml:space="preserve"> vorzugehen, ist unmittelbarer Ausfluss des Mitgliedschaftsrechts des einzelnen Gesellschafters.</w:t>
            </w:r>
          </w:p>
        </w:tc>
      </w:tr>
      <w:tr w:rsidR="007F1765" w:rsidRPr="00003D4B" w:rsidTr="007F1765">
        <w:trPr>
          <w:trHeight w:val="352"/>
        </w:trPr>
        <w:tc>
          <w:tcPr>
            <w:tcW w:w="5000" w:type="pct"/>
            <w:shd w:val="clear" w:color="auto" w:fill="DBE5F1" w:themeFill="accent1" w:themeFillTint="33"/>
            <w:vAlign w:val="center"/>
          </w:tcPr>
          <w:p w:rsidR="007F1765" w:rsidRPr="00003D4B" w:rsidRDefault="00CF38B0" w:rsidP="007F1765">
            <w:pPr>
              <w:autoSpaceDE w:val="0"/>
              <w:autoSpaceDN w:val="0"/>
              <w:adjustRightInd w:val="0"/>
              <w:rPr>
                <w:rFonts w:ascii="Arial Narrow" w:hAnsi="Arial Narrow"/>
                <w:smallCaps/>
                <w:color w:val="000000"/>
                <w:sz w:val="22"/>
                <w:szCs w:val="22"/>
                <w:lang w:bidi="bn-IN"/>
              </w:rPr>
            </w:pPr>
            <w:r w:rsidRPr="00CF38B0">
              <w:rPr>
                <w:rFonts w:ascii="Arial Narrow" w:hAnsi="Arial Narrow"/>
                <w:smallCaps/>
                <w:color w:val="000000"/>
                <w:sz w:val="22"/>
                <w:szCs w:val="22"/>
                <w:lang w:bidi="bn-IN"/>
              </w:rPr>
              <w:t>BEDEUTUNG IN DER PRAXIS FÜR ANSPRÜCHE GEGEN BETEILIGTEN UNTERNEHMEN</w:t>
            </w:r>
          </w:p>
        </w:tc>
      </w:tr>
      <w:tr w:rsidR="007F1765" w:rsidRPr="007F1765" w:rsidTr="007F1765">
        <w:trPr>
          <w:trHeight w:val="195"/>
        </w:trPr>
        <w:tc>
          <w:tcPr>
            <w:tcW w:w="5000" w:type="pct"/>
            <w:shd w:val="clear" w:color="auto" w:fill="FFFFFF" w:themeFill="background1"/>
            <w:vAlign w:val="center"/>
          </w:tcPr>
          <w:p w:rsidR="00CF38B0" w:rsidRPr="00CF38B0" w:rsidRDefault="00CF38B0" w:rsidP="00CF38B0">
            <w:pPr>
              <w:pStyle w:val="Listenabsatz"/>
              <w:numPr>
                <w:ilvl w:val="0"/>
                <w:numId w:val="16"/>
              </w:numPr>
              <w:shd w:val="clear" w:color="auto" w:fill="FFFFFF" w:themeFill="background1"/>
              <w:autoSpaceDE w:val="0"/>
              <w:autoSpaceDN w:val="0"/>
              <w:adjustRightInd w:val="0"/>
              <w:spacing w:before="120"/>
              <w:ind w:left="318" w:hanging="284"/>
              <w:rPr>
                <w:rFonts w:ascii="Arial Narrow" w:hAnsi="Arial Narrow"/>
                <w:sz w:val="18"/>
                <w:szCs w:val="18"/>
              </w:rPr>
            </w:pPr>
            <w:r w:rsidRPr="00CF38B0">
              <w:rPr>
                <w:rFonts w:ascii="Arial Narrow" w:hAnsi="Arial Narrow"/>
                <w:sz w:val="18"/>
                <w:szCs w:val="18"/>
              </w:rPr>
              <w:t xml:space="preserve">Bei Ansprüchen aus Fondsmanagement  liegt immer ein Vertrag der Fonds KG mit Treuhand, Fondsverwaltung oder ein anderes Unternehmen der Gruppe zugrunde. Wird dieser schlecht erfüllt, dann ist primär ein Schadenersatzanspruch der KG gegen den Vertragspartner gegeben. Dieser ist nicht versichert, wenn nur Ansprüche von „Dritten“  oder „Anlegern“ versichert sind. </w:t>
            </w:r>
          </w:p>
          <w:p w:rsidR="00CF38B0" w:rsidRPr="00CF38B0" w:rsidRDefault="00CF38B0" w:rsidP="00CF38B0">
            <w:pPr>
              <w:pStyle w:val="Listenabsatz"/>
              <w:numPr>
                <w:ilvl w:val="0"/>
                <w:numId w:val="16"/>
              </w:numPr>
              <w:shd w:val="clear" w:color="auto" w:fill="FFFFFF" w:themeFill="background1"/>
              <w:autoSpaceDE w:val="0"/>
              <w:autoSpaceDN w:val="0"/>
              <w:adjustRightInd w:val="0"/>
              <w:spacing w:before="120"/>
              <w:ind w:left="318" w:hanging="284"/>
              <w:rPr>
                <w:rFonts w:ascii="Arial Narrow" w:hAnsi="Arial Narrow"/>
                <w:sz w:val="18"/>
                <w:szCs w:val="18"/>
              </w:rPr>
            </w:pPr>
            <w:r w:rsidRPr="00CF38B0">
              <w:rPr>
                <w:rFonts w:ascii="Arial Narrow" w:hAnsi="Arial Narrow"/>
                <w:sz w:val="18"/>
                <w:szCs w:val="18"/>
              </w:rPr>
              <w:t xml:space="preserve">Bezüglich Prospekthaftungsansprüchen ist die direkte Auswirkung zwar gering, da hier der Initiator (und </w:t>
            </w:r>
            <w:proofErr w:type="spellStart"/>
            <w:r w:rsidRPr="00CF38B0">
              <w:rPr>
                <w:rFonts w:ascii="Arial Narrow" w:hAnsi="Arial Narrow"/>
                <w:sz w:val="18"/>
                <w:szCs w:val="18"/>
              </w:rPr>
              <w:t>evt</w:t>
            </w:r>
            <w:proofErr w:type="spellEnd"/>
            <w:r w:rsidRPr="00CF38B0">
              <w:rPr>
                <w:rFonts w:ascii="Arial Narrow" w:hAnsi="Arial Narrow"/>
                <w:sz w:val="18"/>
                <w:szCs w:val="18"/>
              </w:rPr>
              <w:t>. weitere) dem Anleger gegenüber direkt haften. Allerdings verjähren Prospekthaftung</w:t>
            </w:r>
            <w:r>
              <w:rPr>
                <w:rFonts w:ascii="Arial Narrow" w:hAnsi="Arial Narrow"/>
                <w:sz w:val="18"/>
                <w:szCs w:val="18"/>
              </w:rPr>
              <w:t>s</w:t>
            </w:r>
            <w:r w:rsidRPr="00CF38B0">
              <w:rPr>
                <w:rFonts w:ascii="Arial Narrow" w:hAnsi="Arial Narrow"/>
                <w:sz w:val="18"/>
                <w:szCs w:val="18"/>
              </w:rPr>
              <w:t xml:space="preserve">ansprüche mit sehr kurzen Fristen. Deswegen versuchen die Anleger häufig einen Prospekthaftungsanspruch in einen Fondsmanagementanspruch umzuinterpretieren. (Bei nicht erreichten </w:t>
            </w:r>
            <w:proofErr w:type="spellStart"/>
            <w:r w:rsidRPr="00CF38B0">
              <w:rPr>
                <w:rFonts w:ascii="Arial Narrow" w:hAnsi="Arial Narrow"/>
                <w:sz w:val="18"/>
                <w:szCs w:val="18"/>
              </w:rPr>
              <w:t>Ertragsprognosewerten</w:t>
            </w:r>
            <w:proofErr w:type="spellEnd"/>
            <w:r w:rsidRPr="00CF38B0">
              <w:rPr>
                <w:rFonts w:ascii="Arial Narrow" w:hAnsi="Arial Narrow"/>
                <w:sz w:val="18"/>
                <w:szCs w:val="18"/>
              </w:rPr>
              <w:t xml:space="preserve"> kann z.B. der das Ertragsgutachten im Prospekt oder das Management fehlerhaft sein)  </w:t>
            </w:r>
          </w:p>
          <w:p w:rsidR="007F1765" w:rsidRPr="00CF38B0" w:rsidRDefault="00CF38B0" w:rsidP="00CF38B0">
            <w:pPr>
              <w:pStyle w:val="Listenabsatz"/>
              <w:numPr>
                <w:ilvl w:val="0"/>
                <w:numId w:val="16"/>
              </w:numPr>
              <w:shd w:val="clear" w:color="auto" w:fill="FFFFFF" w:themeFill="background1"/>
              <w:autoSpaceDE w:val="0"/>
              <w:autoSpaceDN w:val="0"/>
              <w:adjustRightInd w:val="0"/>
              <w:spacing w:before="120"/>
              <w:ind w:left="318" w:hanging="284"/>
              <w:rPr>
                <w:rFonts w:ascii="Arial Narrow" w:hAnsi="Arial Narrow"/>
                <w:sz w:val="18"/>
                <w:szCs w:val="18"/>
              </w:rPr>
            </w:pPr>
            <w:r w:rsidRPr="00CF38B0">
              <w:rPr>
                <w:rFonts w:ascii="Arial Narrow" w:hAnsi="Arial Narrow"/>
                <w:sz w:val="18"/>
                <w:szCs w:val="18"/>
              </w:rPr>
              <w:t xml:space="preserve">Versichert ist damit beim Wettbewerb de facto meist nur die kurz verjährende Prospekthaftung, nicht jedoch der meist deutlich weniger verjährungsgefährdete Anspruch aus mangelhaftem Fondsmanagement. </w:t>
            </w:r>
          </w:p>
        </w:tc>
      </w:tr>
      <w:tr w:rsidR="00003D4B" w:rsidRPr="005E5F71" w:rsidTr="00003D4B">
        <w:trPr>
          <w:trHeight w:val="384"/>
        </w:trPr>
        <w:tc>
          <w:tcPr>
            <w:tcW w:w="5000" w:type="pct"/>
            <w:shd w:val="clear" w:color="auto" w:fill="DBE5F1" w:themeFill="accent1" w:themeFillTint="33"/>
            <w:vAlign w:val="center"/>
          </w:tcPr>
          <w:p w:rsidR="00003D4B" w:rsidRPr="00003D4B" w:rsidRDefault="00003D4B" w:rsidP="00003D4B">
            <w:pPr>
              <w:tabs>
                <w:tab w:val="left" w:pos="2355"/>
              </w:tabs>
              <w:rPr>
                <w:rFonts w:ascii="Arial Narrow" w:hAnsi="Arial Narrow"/>
                <w:bCs/>
                <w:smallCaps/>
                <w:sz w:val="22"/>
                <w:szCs w:val="22"/>
              </w:rPr>
            </w:pPr>
            <w:r w:rsidRPr="00003D4B">
              <w:rPr>
                <w:rFonts w:ascii="Arial Narrow" w:hAnsi="Arial Narrow"/>
                <w:bCs/>
                <w:smallCaps/>
                <w:sz w:val="22"/>
                <w:szCs w:val="22"/>
              </w:rPr>
              <w:t>Ansprechpartner</w:t>
            </w:r>
          </w:p>
        </w:tc>
      </w:tr>
      <w:tr w:rsidR="0054442E" w:rsidRPr="00174F58" w:rsidTr="00003D4B">
        <w:trPr>
          <w:trHeight w:val="503"/>
        </w:trPr>
        <w:tc>
          <w:tcPr>
            <w:tcW w:w="5000" w:type="pct"/>
            <w:shd w:val="clear" w:color="auto" w:fill="FFFFFF" w:themeFill="background1"/>
            <w:vAlign w:val="center"/>
          </w:tcPr>
          <w:p w:rsidR="0054442E" w:rsidRPr="007F1765" w:rsidRDefault="007F1765" w:rsidP="007F1765">
            <w:pPr>
              <w:tabs>
                <w:tab w:val="left" w:pos="2355"/>
              </w:tabs>
              <w:rPr>
                <w:rFonts w:ascii="Arial Narrow" w:hAnsi="Arial Narrow"/>
                <w:bCs/>
                <w:sz w:val="22"/>
                <w:szCs w:val="22"/>
                <w:lang w:val="en-US"/>
              </w:rPr>
            </w:pPr>
            <w:r w:rsidRPr="007F1765">
              <w:rPr>
                <w:rFonts w:ascii="Arial Narrow" w:hAnsi="Arial Narrow"/>
                <w:bCs/>
                <w:sz w:val="22"/>
                <w:szCs w:val="22"/>
                <w:lang w:val="en-US"/>
              </w:rPr>
              <w:t>Ass</w:t>
            </w:r>
            <w:r>
              <w:rPr>
                <w:rFonts w:ascii="Arial Narrow" w:hAnsi="Arial Narrow"/>
                <w:bCs/>
                <w:sz w:val="22"/>
                <w:szCs w:val="22"/>
                <w:lang w:val="en-US"/>
              </w:rPr>
              <w:t>.</w:t>
            </w:r>
            <w:r w:rsidRPr="007F1765">
              <w:rPr>
                <w:rFonts w:ascii="Arial Narrow" w:hAnsi="Arial Narrow"/>
                <w:bCs/>
                <w:sz w:val="22"/>
                <w:szCs w:val="22"/>
                <w:lang w:val="en-US"/>
              </w:rPr>
              <w:t xml:space="preserve"> </w:t>
            </w:r>
            <w:proofErr w:type="spellStart"/>
            <w:r w:rsidRPr="007F1765">
              <w:rPr>
                <w:rFonts w:ascii="Arial Narrow" w:hAnsi="Arial Narrow"/>
                <w:bCs/>
                <w:sz w:val="22"/>
                <w:szCs w:val="22"/>
                <w:lang w:val="en-US"/>
              </w:rPr>
              <w:t>Jur</w:t>
            </w:r>
            <w:proofErr w:type="spellEnd"/>
            <w:r w:rsidRPr="007F1765">
              <w:rPr>
                <w:rFonts w:ascii="Arial Narrow" w:hAnsi="Arial Narrow"/>
                <w:bCs/>
                <w:sz w:val="22"/>
                <w:szCs w:val="22"/>
                <w:lang w:val="en-US"/>
              </w:rPr>
              <w:t xml:space="preserve">. </w:t>
            </w:r>
            <w:r>
              <w:rPr>
                <w:rFonts w:ascii="Arial Narrow" w:hAnsi="Arial Narrow"/>
                <w:bCs/>
                <w:sz w:val="22"/>
                <w:szCs w:val="22"/>
                <w:lang w:val="en-US"/>
              </w:rPr>
              <w:t xml:space="preserve">Harald </w:t>
            </w:r>
            <w:r w:rsidR="00003D4B" w:rsidRPr="007F1765">
              <w:rPr>
                <w:rFonts w:ascii="Arial Narrow" w:hAnsi="Arial Narrow"/>
                <w:bCs/>
                <w:sz w:val="22"/>
                <w:szCs w:val="22"/>
                <w:lang w:val="en-US"/>
              </w:rPr>
              <w:t>Schaaff Tel. 089 95444880</w:t>
            </w:r>
          </w:p>
        </w:tc>
      </w:tr>
      <w:tr w:rsidR="0054442E" w:rsidRPr="00174F58" w:rsidTr="00003D4B">
        <w:trPr>
          <w:trHeight w:val="195"/>
        </w:trPr>
        <w:tc>
          <w:tcPr>
            <w:tcW w:w="5000" w:type="pct"/>
            <w:shd w:val="clear" w:color="auto" w:fill="DBE5F1" w:themeFill="accent1" w:themeFillTint="33"/>
            <w:vAlign w:val="center"/>
          </w:tcPr>
          <w:p w:rsidR="0054442E" w:rsidRPr="0054442E" w:rsidRDefault="0054442E" w:rsidP="0054442E">
            <w:pPr>
              <w:tabs>
                <w:tab w:val="right" w:pos="9072"/>
              </w:tabs>
              <w:rPr>
                <w:rFonts w:ascii="Arial Narrow" w:hAnsi="Arial Narrow"/>
                <w:sz w:val="22"/>
                <w:szCs w:val="22"/>
                <w:lang w:val="en-US"/>
              </w:rPr>
            </w:pPr>
          </w:p>
        </w:tc>
      </w:tr>
      <w:tr w:rsidR="0054442E" w:rsidRPr="00174F58" w:rsidTr="00003D4B">
        <w:trPr>
          <w:trHeight w:val="195"/>
        </w:trPr>
        <w:tc>
          <w:tcPr>
            <w:tcW w:w="5000" w:type="pct"/>
            <w:shd w:val="clear" w:color="auto" w:fill="8DB3E2" w:themeFill="text2" w:themeFillTint="66"/>
            <w:vAlign w:val="center"/>
          </w:tcPr>
          <w:p w:rsidR="0054442E" w:rsidRPr="0054442E" w:rsidRDefault="0054442E" w:rsidP="00F6323D">
            <w:pPr>
              <w:tabs>
                <w:tab w:val="left" w:pos="2355"/>
              </w:tabs>
              <w:rPr>
                <w:rFonts w:ascii="Arial Narrow" w:hAnsi="Arial Narrow"/>
                <w:bCs/>
                <w:lang w:val="en-US"/>
              </w:rPr>
            </w:pPr>
            <w:r w:rsidRPr="0054442E">
              <w:rPr>
                <w:rFonts w:ascii="Arial Narrow" w:hAnsi="Arial Narrow"/>
                <w:lang w:val="en-US"/>
              </w:rPr>
              <w:t xml:space="preserve">  </w:t>
            </w:r>
          </w:p>
        </w:tc>
      </w:tr>
    </w:tbl>
    <w:p w:rsidR="008E14FB" w:rsidRPr="0054442E" w:rsidRDefault="005E5F71" w:rsidP="003D7B36">
      <w:pPr>
        <w:tabs>
          <w:tab w:val="left" w:pos="2355"/>
        </w:tabs>
        <w:rPr>
          <w:rFonts w:ascii="Arial Narrow" w:hAnsi="Arial Narrow"/>
          <w:sz w:val="22"/>
          <w:lang w:val="en-US"/>
        </w:rPr>
      </w:pPr>
      <w:r w:rsidRPr="0054442E">
        <w:rPr>
          <w:rFonts w:ascii="Arial Narrow" w:hAnsi="Arial Narrow"/>
          <w:color w:val="000000"/>
          <w:sz w:val="22"/>
          <w:lang w:val="en-US" w:bidi="bn-IN"/>
        </w:rPr>
        <w:t xml:space="preserve"> </w:t>
      </w:r>
    </w:p>
    <w:sectPr w:rsidR="008E14FB" w:rsidRPr="0054442E" w:rsidSect="001F6571">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58" w:rsidRDefault="00174F58" w:rsidP="003D7B36">
      <w:r>
        <w:separator/>
      </w:r>
    </w:p>
  </w:endnote>
  <w:endnote w:type="continuationSeparator" w:id="0">
    <w:p w:rsidR="00174F58" w:rsidRDefault="00174F58" w:rsidP="003D7B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58" w:rsidRPr="00003D4B" w:rsidRDefault="00174F58">
    <w:pPr>
      <w:pStyle w:val="Fuzeile"/>
      <w:rPr>
        <w:sz w:val="16"/>
        <w:szCs w:val="16"/>
      </w:rPr>
    </w:pPr>
    <w:r w:rsidRPr="00003D4B">
      <w:rPr>
        <w:sz w:val="16"/>
        <w:szCs w:val="16"/>
      </w:rPr>
      <w:t xml:space="preserve">Aus rechtlichen Gründen kann für </w:t>
    </w:r>
    <w:r>
      <w:rPr>
        <w:sz w:val="16"/>
        <w:szCs w:val="16"/>
      </w:rPr>
      <w:t>obenstehende Information keine H</w:t>
    </w:r>
    <w:r w:rsidRPr="00003D4B">
      <w:rPr>
        <w:sz w:val="16"/>
        <w:szCs w:val="16"/>
      </w:rPr>
      <w:t>aftung übernommen werden.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58" w:rsidRDefault="00174F58" w:rsidP="003D7B36">
      <w:r>
        <w:separator/>
      </w:r>
    </w:p>
  </w:footnote>
  <w:footnote w:type="continuationSeparator" w:id="0">
    <w:p w:rsidR="00174F58" w:rsidRDefault="00174F58" w:rsidP="003D7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F58" w:rsidRDefault="00174F58" w:rsidP="00261DA4">
    <w:pPr>
      <w:jc w:val="center"/>
      <w:rPr>
        <w:rFonts w:ascii="Arial" w:hAnsi="Arial" w:cs="Arial"/>
        <w:b/>
        <w:bCs/>
        <w:sz w:val="16"/>
        <w:szCs w:val="16"/>
        <w:u w:val="single"/>
      </w:rPr>
    </w:pPr>
  </w:p>
  <w:p w:rsidR="00174F58" w:rsidRDefault="00174F58" w:rsidP="00174F58">
    <w:pPr>
      <w:tabs>
        <w:tab w:val="left" w:pos="0"/>
      </w:tabs>
      <w:jc w:val="both"/>
      <w:rPr>
        <w:rFonts w:ascii="Arial" w:hAnsi="Arial" w:cs="Arial"/>
        <w:b/>
        <w:bCs/>
        <w:sz w:val="16"/>
        <w:szCs w:val="16"/>
        <w:u w:val="single"/>
      </w:rPr>
    </w:pPr>
    <w:r w:rsidRPr="00174F58">
      <w:rPr>
        <w:rFonts w:ascii="Arial" w:hAnsi="Arial" w:cs="Arial"/>
        <w:b/>
        <w:bCs/>
        <w:sz w:val="16"/>
        <w:szCs w:val="16"/>
      </w:rPr>
      <w:drawing>
        <wp:inline distT="0" distB="0" distL="0" distR="0">
          <wp:extent cx="621102" cy="207034"/>
          <wp:effectExtent l="19050" t="0" r="7548" b="0"/>
          <wp:docPr id="2" name="Grafik 0" descr="MACNEU2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NEU2blau.jpg"/>
                  <pic:cNvPicPr/>
                </pic:nvPicPr>
                <pic:blipFill>
                  <a:blip r:embed="rId1"/>
                  <a:stretch>
                    <a:fillRect/>
                  </a:stretch>
                </pic:blipFill>
                <pic:spPr>
                  <a:xfrm>
                    <a:off x="0" y="0"/>
                    <a:ext cx="621110" cy="207037"/>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8.85pt;height:8.85pt" o:bullet="t">
        <v:imagedata r:id="rId1" o:title="BD10267_"/>
      </v:shape>
    </w:pict>
  </w:numPicBullet>
  <w:abstractNum w:abstractNumId="0">
    <w:nsid w:val="02A234FB"/>
    <w:multiLevelType w:val="hybridMultilevel"/>
    <w:tmpl w:val="64D269F8"/>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2931FD"/>
    <w:multiLevelType w:val="hybridMultilevel"/>
    <w:tmpl w:val="D92A99F4"/>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DE3751D"/>
    <w:multiLevelType w:val="hybridMultilevel"/>
    <w:tmpl w:val="6A269F9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05428F3"/>
    <w:multiLevelType w:val="hybridMultilevel"/>
    <w:tmpl w:val="5914D5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A641BD2"/>
    <w:multiLevelType w:val="hybridMultilevel"/>
    <w:tmpl w:val="EA74EDCA"/>
    <w:lvl w:ilvl="0" w:tplc="AE7EA2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F1A5557"/>
    <w:multiLevelType w:val="hybridMultilevel"/>
    <w:tmpl w:val="13E82A72"/>
    <w:lvl w:ilvl="0" w:tplc="C74AD53C">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2B6691E"/>
    <w:multiLevelType w:val="hybridMultilevel"/>
    <w:tmpl w:val="2FFC1F30"/>
    <w:lvl w:ilvl="0" w:tplc="DE32E67E">
      <w:numFmt w:val="bullet"/>
      <w:lvlText w:val="•"/>
      <w:lvlJc w:val="left"/>
      <w:pPr>
        <w:ind w:left="394" w:hanging="360"/>
      </w:pPr>
      <w:rPr>
        <w:rFonts w:ascii="Arial Narrow" w:eastAsia="Times New Roman" w:hAnsi="Arial Narrow" w:cs="Times New Roman" w:hint="default"/>
      </w:rPr>
    </w:lvl>
    <w:lvl w:ilvl="1" w:tplc="04070003" w:tentative="1">
      <w:start w:val="1"/>
      <w:numFmt w:val="bullet"/>
      <w:lvlText w:val="o"/>
      <w:lvlJc w:val="left"/>
      <w:pPr>
        <w:ind w:left="1114" w:hanging="360"/>
      </w:pPr>
      <w:rPr>
        <w:rFonts w:ascii="Courier New" w:hAnsi="Courier New" w:cs="Courier New" w:hint="default"/>
      </w:rPr>
    </w:lvl>
    <w:lvl w:ilvl="2" w:tplc="04070005" w:tentative="1">
      <w:start w:val="1"/>
      <w:numFmt w:val="bullet"/>
      <w:lvlText w:val=""/>
      <w:lvlJc w:val="left"/>
      <w:pPr>
        <w:ind w:left="1834" w:hanging="360"/>
      </w:pPr>
      <w:rPr>
        <w:rFonts w:ascii="Wingdings" w:hAnsi="Wingdings" w:hint="default"/>
      </w:rPr>
    </w:lvl>
    <w:lvl w:ilvl="3" w:tplc="04070001" w:tentative="1">
      <w:start w:val="1"/>
      <w:numFmt w:val="bullet"/>
      <w:lvlText w:val=""/>
      <w:lvlJc w:val="left"/>
      <w:pPr>
        <w:ind w:left="2554" w:hanging="360"/>
      </w:pPr>
      <w:rPr>
        <w:rFonts w:ascii="Symbol" w:hAnsi="Symbol" w:hint="default"/>
      </w:rPr>
    </w:lvl>
    <w:lvl w:ilvl="4" w:tplc="04070003" w:tentative="1">
      <w:start w:val="1"/>
      <w:numFmt w:val="bullet"/>
      <w:lvlText w:val="o"/>
      <w:lvlJc w:val="left"/>
      <w:pPr>
        <w:ind w:left="3274" w:hanging="360"/>
      </w:pPr>
      <w:rPr>
        <w:rFonts w:ascii="Courier New" w:hAnsi="Courier New" w:cs="Courier New" w:hint="default"/>
      </w:rPr>
    </w:lvl>
    <w:lvl w:ilvl="5" w:tplc="04070005" w:tentative="1">
      <w:start w:val="1"/>
      <w:numFmt w:val="bullet"/>
      <w:lvlText w:val=""/>
      <w:lvlJc w:val="left"/>
      <w:pPr>
        <w:ind w:left="3994" w:hanging="360"/>
      </w:pPr>
      <w:rPr>
        <w:rFonts w:ascii="Wingdings" w:hAnsi="Wingdings" w:hint="default"/>
      </w:rPr>
    </w:lvl>
    <w:lvl w:ilvl="6" w:tplc="04070001" w:tentative="1">
      <w:start w:val="1"/>
      <w:numFmt w:val="bullet"/>
      <w:lvlText w:val=""/>
      <w:lvlJc w:val="left"/>
      <w:pPr>
        <w:ind w:left="4714" w:hanging="360"/>
      </w:pPr>
      <w:rPr>
        <w:rFonts w:ascii="Symbol" w:hAnsi="Symbol" w:hint="default"/>
      </w:rPr>
    </w:lvl>
    <w:lvl w:ilvl="7" w:tplc="04070003" w:tentative="1">
      <w:start w:val="1"/>
      <w:numFmt w:val="bullet"/>
      <w:lvlText w:val="o"/>
      <w:lvlJc w:val="left"/>
      <w:pPr>
        <w:ind w:left="5434" w:hanging="360"/>
      </w:pPr>
      <w:rPr>
        <w:rFonts w:ascii="Courier New" w:hAnsi="Courier New" w:cs="Courier New" w:hint="default"/>
      </w:rPr>
    </w:lvl>
    <w:lvl w:ilvl="8" w:tplc="04070005" w:tentative="1">
      <w:start w:val="1"/>
      <w:numFmt w:val="bullet"/>
      <w:lvlText w:val=""/>
      <w:lvlJc w:val="left"/>
      <w:pPr>
        <w:ind w:left="6154" w:hanging="360"/>
      </w:pPr>
      <w:rPr>
        <w:rFonts w:ascii="Wingdings" w:hAnsi="Wingdings" w:hint="default"/>
      </w:rPr>
    </w:lvl>
  </w:abstractNum>
  <w:abstractNum w:abstractNumId="7">
    <w:nsid w:val="28D83340"/>
    <w:multiLevelType w:val="hybridMultilevel"/>
    <w:tmpl w:val="94D05B2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AC512FE"/>
    <w:multiLevelType w:val="hybridMultilevel"/>
    <w:tmpl w:val="B92672E6"/>
    <w:lvl w:ilvl="0" w:tplc="AE7EA2BC">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E0A64DB"/>
    <w:multiLevelType w:val="hybridMultilevel"/>
    <w:tmpl w:val="F86CD4E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E1F2A58"/>
    <w:multiLevelType w:val="hybridMultilevel"/>
    <w:tmpl w:val="56100A3E"/>
    <w:lvl w:ilvl="0" w:tplc="AE7EA2BC">
      <w:start w:val="1"/>
      <w:numFmt w:val="bullet"/>
      <w:lvlText w:val=""/>
      <w:lvlPicBulletId w:val="0"/>
      <w:lvlJc w:val="left"/>
      <w:pPr>
        <w:ind w:left="754" w:hanging="360"/>
      </w:pPr>
      <w:rPr>
        <w:rFonts w:ascii="Symbol" w:hAnsi="Symbol" w:hint="default"/>
        <w:color w:val="auto"/>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1">
    <w:nsid w:val="370B5BB4"/>
    <w:multiLevelType w:val="hybridMultilevel"/>
    <w:tmpl w:val="B7548A26"/>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913247C"/>
    <w:multiLevelType w:val="hybridMultilevel"/>
    <w:tmpl w:val="04882876"/>
    <w:lvl w:ilvl="0" w:tplc="0E181DDC">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B40EE6"/>
    <w:multiLevelType w:val="hybridMultilevel"/>
    <w:tmpl w:val="9402926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D26556"/>
    <w:multiLevelType w:val="hybridMultilevel"/>
    <w:tmpl w:val="B316F346"/>
    <w:lvl w:ilvl="0" w:tplc="2F44D234">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38A20CC"/>
    <w:multiLevelType w:val="hybridMultilevel"/>
    <w:tmpl w:val="BC0005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4153490"/>
    <w:multiLevelType w:val="hybridMultilevel"/>
    <w:tmpl w:val="5EA69EA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55A70AD"/>
    <w:multiLevelType w:val="hybridMultilevel"/>
    <w:tmpl w:val="2F8A520A"/>
    <w:lvl w:ilvl="0" w:tplc="0407000B">
      <w:start w:val="1"/>
      <w:numFmt w:val="bullet"/>
      <w:lvlText w:val=""/>
      <w:lvlJc w:val="left"/>
      <w:pPr>
        <w:ind w:left="720" w:hanging="360"/>
      </w:pPr>
      <w:rPr>
        <w:rFonts w:ascii="Wingdings" w:hAnsi="Wingdings" w:hint="default"/>
      </w:rPr>
    </w:lvl>
    <w:lvl w:ilvl="1" w:tplc="D59EB2C2">
      <w:numFmt w:val="bullet"/>
      <w:lvlText w:val="•"/>
      <w:lvlJc w:val="left"/>
      <w:pPr>
        <w:ind w:left="1785" w:hanging="705"/>
      </w:pPr>
      <w:rPr>
        <w:rFonts w:ascii="Arial Narrow" w:eastAsia="Times New Roman" w:hAnsi="Arial Narrow"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2404C1C"/>
    <w:multiLevelType w:val="hybridMultilevel"/>
    <w:tmpl w:val="2AB015FA"/>
    <w:lvl w:ilvl="0" w:tplc="6214F26E">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A973EB0"/>
    <w:multiLevelType w:val="hybridMultilevel"/>
    <w:tmpl w:val="332EEA68"/>
    <w:lvl w:ilvl="0" w:tplc="0D4EE70C">
      <w:numFmt w:val="bullet"/>
      <w:lvlText w:val="•"/>
      <w:lvlJc w:val="left"/>
      <w:pPr>
        <w:ind w:left="1065" w:hanging="705"/>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6"/>
  </w:num>
  <w:num w:numId="4">
    <w:abstractNumId w:val="15"/>
  </w:num>
  <w:num w:numId="5">
    <w:abstractNumId w:val="19"/>
  </w:num>
  <w:num w:numId="6">
    <w:abstractNumId w:val="13"/>
  </w:num>
  <w:num w:numId="7">
    <w:abstractNumId w:val="18"/>
  </w:num>
  <w:num w:numId="8">
    <w:abstractNumId w:val="17"/>
  </w:num>
  <w:num w:numId="9">
    <w:abstractNumId w:val="12"/>
  </w:num>
  <w:num w:numId="10">
    <w:abstractNumId w:val="7"/>
  </w:num>
  <w:num w:numId="11">
    <w:abstractNumId w:val="0"/>
  </w:num>
  <w:num w:numId="12">
    <w:abstractNumId w:val="1"/>
  </w:num>
  <w:num w:numId="13">
    <w:abstractNumId w:val="11"/>
  </w:num>
  <w:num w:numId="14">
    <w:abstractNumId w:val="2"/>
  </w:num>
  <w:num w:numId="15">
    <w:abstractNumId w:val="14"/>
  </w:num>
  <w:num w:numId="16">
    <w:abstractNumId w:val="4"/>
  </w:num>
  <w:num w:numId="17">
    <w:abstractNumId w:val="10"/>
  </w:num>
  <w:num w:numId="18">
    <w:abstractNumId w:val="6"/>
  </w:num>
  <w:num w:numId="19">
    <w:abstractNumId w:val="8"/>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65537"/>
  </w:hdrShapeDefaults>
  <w:footnotePr>
    <w:footnote w:id="-1"/>
    <w:footnote w:id="0"/>
  </w:footnotePr>
  <w:endnotePr>
    <w:endnote w:id="-1"/>
    <w:endnote w:id="0"/>
  </w:endnotePr>
  <w:compat/>
  <w:rsids>
    <w:rsidRoot w:val="003D7B36"/>
    <w:rsid w:val="00003D4B"/>
    <w:rsid w:val="00014191"/>
    <w:rsid w:val="000822AF"/>
    <w:rsid w:val="000E5183"/>
    <w:rsid w:val="001236F6"/>
    <w:rsid w:val="00125139"/>
    <w:rsid w:val="00146825"/>
    <w:rsid w:val="00153537"/>
    <w:rsid w:val="00174F58"/>
    <w:rsid w:val="001A6F80"/>
    <w:rsid w:val="001F0F16"/>
    <w:rsid w:val="001F6571"/>
    <w:rsid w:val="00246654"/>
    <w:rsid w:val="00250279"/>
    <w:rsid w:val="002551C9"/>
    <w:rsid w:val="00261DA4"/>
    <w:rsid w:val="00273536"/>
    <w:rsid w:val="002766AF"/>
    <w:rsid w:val="00277B9C"/>
    <w:rsid w:val="002911FA"/>
    <w:rsid w:val="002B5E51"/>
    <w:rsid w:val="002C35C9"/>
    <w:rsid w:val="002C465E"/>
    <w:rsid w:val="002C63EC"/>
    <w:rsid w:val="00307BEC"/>
    <w:rsid w:val="00311046"/>
    <w:rsid w:val="003979BA"/>
    <w:rsid w:val="003D7B36"/>
    <w:rsid w:val="003E0C5B"/>
    <w:rsid w:val="00410DA6"/>
    <w:rsid w:val="00434E29"/>
    <w:rsid w:val="00473FEB"/>
    <w:rsid w:val="004B5C08"/>
    <w:rsid w:val="004F4BF8"/>
    <w:rsid w:val="0054442E"/>
    <w:rsid w:val="005A13A9"/>
    <w:rsid w:val="005B72DC"/>
    <w:rsid w:val="005C0CB5"/>
    <w:rsid w:val="005E5F71"/>
    <w:rsid w:val="005F7B63"/>
    <w:rsid w:val="0061038C"/>
    <w:rsid w:val="00616956"/>
    <w:rsid w:val="006179DF"/>
    <w:rsid w:val="00622A91"/>
    <w:rsid w:val="00641104"/>
    <w:rsid w:val="00642563"/>
    <w:rsid w:val="00653E6F"/>
    <w:rsid w:val="00673C71"/>
    <w:rsid w:val="00681000"/>
    <w:rsid w:val="006F4D6F"/>
    <w:rsid w:val="0075395B"/>
    <w:rsid w:val="007A341D"/>
    <w:rsid w:val="007F1765"/>
    <w:rsid w:val="00827595"/>
    <w:rsid w:val="008570CA"/>
    <w:rsid w:val="00881C56"/>
    <w:rsid w:val="008D0F33"/>
    <w:rsid w:val="008D3CCC"/>
    <w:rsid w:val="008E14FB"/>
    <w:rsid w:val="008F4F1A"/>
    <w:rsid w:val="0097260F"/>
    <w:rsid w:val="00990056"/>
    <w:rsid w:val="009E4EED"/>
    <w:rsid w:val="00A22C5E"/>
    <w:rsid w:val="00A35D2A"/>
    <w:rsid w:val="00A777E6"/>
    <w:rsid w:val="00A84A7C"/>
    <w:rsid w:val="00AB1E1F"/>
    <w:rsid w:val="00AD0F9A"/>
    <w:rsid w:val="00B04615"/>
    <w:rsid w:val="00B05A61"/>
    <w:rsid w:val="00B21F30"/>
    <w:rsid w:val="00B31230"/>
    <w:rsid w:val="00B3161E"/>
    <w:rsid w:val="00B365E1"/>
    <w:rsid w:val="00B43ABB"/>
    <w:rsid w:val="00B449FE"/>
    <w:rsid w:val="00B7331A"/>
    <w:rsid w:val="00BA31EF"/>
    <w:rsid w:val="00BA628B"/>
    <w:rsid w:val="00BB0358"/>
    <w:rsid w:val="00C20DF2"/>
    <w:rsid w:val="00C5185F"/>
    <w:rsid w:val="00C918AE"/>
    <w:rsid w:val="00CB06A9"/>
    <w:rsid w:val="00CB24E8"/>
    <w:rsid w:val="00CF38B0"/>
    <w:rsid w:val="00D36A35"/>
    <w:rsid w:val="00D37D1F"/>
    <w:rsid w:val="00D64893"/>
    <w:rsid w:val="00D67F2E"/>
    <w:rsid w:val="00DB6D3F"/>
    <w:rsid w:val="00DE0756"/>
    <w:rsid w:val="00E271C2"/>
    <w:rsid w:val="00E3775D"/>
    <w:rsid w:val="00E51B6D"/>
    <w:rsid w:val="00E776E0"/>
    <w:rsid w:val="00E822C0"/>
    <w:rsid w:val="00EC50DB"/>
    <w:rsid w:val="00F37269"/>
    <w:rsid w:val="00F6323D"/>
    <w:rsid w:val="00F91A53"/>
    <w:rsid w:val="00FA189A"/>
    <w:rsid w:val="00FC09E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 w:type="table" w:styleId="Tabellengitternetz">
    <w:name w:val="Table Grid"/>
    <w:basedOn w:val="NormaleTabelle"/>
    <w:uiPriority w:val="59"/>
    <w:rsid w:val="002911FA"/>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F6323D"/>
    <w:rPr>
      <w:color w:val="808080"/>
    </w:rPr>
  </w:style>
  <w:style w:type="paragraph" w:styleId="Listenabsatz">
    <w:name w:val="List Paragraph"/>
    <w:basedOn w:val="Standard"/>
    <w:uiPriority w:val="34"/>
    <w:qFormat/>
    <w:rsid w:val="00003D4B"/>
    <w:pPr>
      <w:ind w:left="720"/>
      <w:contextualSpacing/>
    </w:pPr>
  </w:style>
  <w:style w:type="paragraph" w:styleId="Funotentext">
    <w:name w:val="footnote text"/>
    <w:basedOn w:val="Standard"/>
    <w:link w:val="FunotentextZchn"/>
    <w:uiPriority w:val="99"/>
    <w:semiHidden/>
    <w:unhideWhenUsed/>
    <w:rsid w:val="005F7B63"/>
  </w:style>
  <w:style w:type="character" w:customStyle="1" w:styleId="FunotentextZchn">
    <w:name w:val="Fußnotentext Zchn"/>
    <w:basedOn w:val="Absatz-Standardschriftart"/>
    <w:link w:val="Funotentext"/>
    <w:uiPriority w:val="99"/>
    <w:semiHidden/>
    <w:rsid w:val="005F7B63"/>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5F7B6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D7B36"/>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3D7B36"/>
    <w:pPr>
      <w:tabs>
        <w:tab w:val="center" w:pos="4536"/>
        <w:tab w:val="right" w:pos="9072"/>
      </w:tabs>
    </w:pPr>
  </w:style>
  <w:style w:type="character" w:customStyle="1" w:styleId="KopfzeileZchn">
    <w:name w:val="Kopfzeile Zchn"/>
    <w:basedOn w:val="Absatz-Standardschriftart"/>
    <w:link w:val="Kopfzeile"/>
    <w:rsid w:val="003D7B36"/>
  </w:style>
  <w:style w:type="paragraph" w:styleId="Fuzeile">
    <w:name w:val="footer"/>
    <w:basedOn w:val="Standard"/>
    <w:link w:val="FuzeileZchn"/>
    <w:unhideWhenUsed/>
    <w:rsid w:val="003D7B36"/>
    <w:pPr>
      <w:tabs>
        <w:tab w:val="center" w:pos="4536"/>
        <w:tab w:val="right" w:pos="9072"/>
      </w:tabs>
    </w:pPr>
  </w:style>
  <w:style w:type="character" w:customStyle="1" w:styleId="FuzeileZchn">
    <w:name w:val="Fußzeile Zchn"/>
    <w:basedOn w:val="Absatz-Standardschriftart"/>
    <w:link w:val="Fuzeile"/>
    <w:rsid w:val="003D7B36"/>
  </w:style>
  <w:style w:type="character" w:styleId="Hyperlink">
    <w:name w:val="Hyperlink"/>
    <w:rsid w:val="003D7B36"/>
    <w:rPr>
      <w:color w:val="0000FF"/>
      <w:u w:val="single"/>
    </w:rPr>
  </w:style>
  <w:style w:type="paragraph" w:styleId="Sprechblasentext">
    <w:name w:val="Balloon Text"/>
    <w:basedOn w:val="Standard"/>
    <w:link w:val="SprechblasentextZchn"/>
    <w:uiPriority w:val="99"/>
    <w:semiHidden/>
    <w:unhideWhenUsed/>
    <w:rsid w:val="00261DA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1DA4"/>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divs>
    <w:div w:id="202788684">
      <w:bodyDiv w:val="1"/>
      <w:marLeft w:val="0"/>
      <w:marRight w:val="0"/>
      <w:marTop w:val="0"/>
      <w:marBottom w:val="0"/>
      <w:divBdr>
        <w:top w:val="none" w:sz="0" w:space="0" w:color="auto"/>
        <w:left w:val="none" w:sz="0" w:space="0" w:color="auto"/>
        <w:bottom w:val="none" w:sz="0" w:space="0" w:color="auto"/>
        <w:right w:val="none" w:sz="0" w:space="0" w:color="auto"/>
      </w:divBdr>
    </w:div>
    <w:div w:id="371662041">
      <w:bodyDiv w:val="1"/>
      <w:marLeft w:val="0"/>
      <w:marRight w:val="0"/>
      <w:marTop w:val="0"/>
      <w:marBottom w:val="0"/>
      <w:divBdr>
        <w:top w:val="none" w:sz="0" w:space="0" w:color="auto"/>
        <w:left w:val="none" w:sz="0" w:space="0" w:color="auto"/>
        <w:bottom w:val="none" w:sz="0" w:space="0" w:color="auto"/>
        <w:right w:val="none" w:sz="0" w:space="0" w:color="auto"/>
      </w:divBdr>
    </w:div>
    <w:div w:id="15726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19885-17B1-482A-B1C2-AABDDA38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3490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Company</Company>
  <LinksUpToDate>false</LinksUpToDate>
  <CharactersWithSpaces>4035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 Schaaff</dc:creator>
  <cp:lastModifiedBy>schaaff</cp:lastModifiedBy>
  <cp:revision>3</cp:revision>
  <cp:lastPrinted>2015-12-06T19:26:00Z</cp:lastPrinted>
  <dcterms:created xsi:type="dcterms:W3CDTF">2015-12-30T18:56:00Z</dcterms:created>
  <dcterms:modified xsi:type="dcterms:W3CDTF">2016-01-02T17:02:00Z</dcterms:modified>
</cp:coreProperties>
</file>